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E6FF" w14:textId="77777777" w:rsidR="00D03B3C" w:rsidRDefault="002475F6">
      <w:r>
        <w:rPr>
          <w:noProof/>
        </w:rPr>
        <w:drawing>
          <wp:inline distT="0" distB="0" distL="0" distR="0" wp14:anchorId="4F26755B" wp14:editId="11710698">
            <wp:extent cx="5816600" cy="668655"/>
            <wp:effectExtent l="25400" t="0" r="0" b="0"/>
            <wp:docPr id="1" name="Pictur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7"/>
                    <a:srcRect/>
                    <a:stretch>
                      <a:fillRect/>
                    </a:stretch>
                  </pic:blipFill>
                  <pic:spPr bwMode="auto">
                    <a:xfrm>
                      <a:off x="0" y="0"/>
                      <a:ext cx="5816600" cy="668655"/>
                    </a:xfrm>
                    <a:prstGeom prst="rect">
                      <a:avLst/>
                    </a:prstGeom>
                    <a:noFill/>
                    <a:ln w="9525">
                      <a:noFill/>
                      <a:miter lim="800000"/>
                      <a:headEnd/>
                      <a:tailEnd/>
                    </a:ln>
                  </pic:spPr>
                </pic:pic>
              </a:graphicData>
            </a:graphic>
          </wp:inline>
        </w:drawing>
      </w:r>
    </w:p>
    <w:p w14:paraId="766CA345" w14:textId="77777777" w:rsidR="00D71846" w:rsidRPr="00724E1D" w:rsidRDefault="00D71846">
      <w:pPr>
        <w:rPr>
          <w:rFonts w:asciiTheme="majorHAnsi" w:hAnsiTheme="majorHAnsi" w:cstheme="majorHAnsi"/>
        </w:rPr>
      </w:pPr>
    </w:p>
    <w:p w14:paraId="40C077B7" w14:textId="28F576AC" w:rsidR="00D71846" w:rsidRPr="00724E1D" w:rsidRDefault="00724E1D">
      <w:pPr>
        <w:rPr>
          <w:rFonts w:asciiTheme="majorHAnsi" w:hAnsiTheme="majorHAnsi" w:cstheme="majorHAnsi"/>
        </w:rPr>
      </w:pPr>
      <w:r w:rsidRPr="00724E1D">
        <w:rPr>
          <w:rFonts w:asciiTheme="majorHAnsi" w:hAnsiTheme="majorHAnsi" w:cstheme="majorHAnsi"/>
          <w:sz w:val="28"/>
        </w:rPr>
        <w:t xml:space="preserve">SHE Technical </w:t>
      </w:r>
      <w:r w:rsidR="00570916">
        <w:rPr>
          <w:rFonts w:asciiTheme="majorHAnsi" w:hAnsiTheme="majorHAnsi" w:cstheme="majorHAnsi"/>
          <w:sz w:val="28"/>
        </w:rPr>
        <w:t>Report TR</w:t>
      </w:r>
      <w:r w:rsidRPr="00724E1D">
        <w:rPr>
          <w:rFonts w:asciiTheme="majorHAnsi" w:hAnsiTheme="majorHAnsi" w:cstheme="majorHAnsi"/>
          <w:sz w:val="28"/>
        </w:rPr>
        <w:t>-</w:t>
      </w:r>
      <w:r w:rsidR="00721D43">
        <w:rPr>
          <w:rFonts w:asciiTheme="majorHAnsi" w:hAnsiTheme="majorHAnsi" w:cstheme="majorHAnsi"/>
          <w:sz w:val="28"/>
        </w:rPr>
        <w:t>3</w:t>
      </w:r>
      <w:r w:rsidR="00153C45">
        <w:rPr>
          <w:rFonts w:asciiTheme="majorHAnsi" w:hAnsiTheme="majorHAnsi" w:cstheme="majorHAnsi"/>
          <w:sz w:val="28"/>
        </w:rPr>
        <w:t>9</w:t>
      </w:r>
    </w:p>
    <w:p w14:paraId="32BD85D1" w14:textId="77777777" w:rsidR="00D71846" w:rsidRPr="00724E1D" w:rsidRDefault="00D71846">
      <w:pPr>
        <w:rPr>
          <w:rFonts w:asciiTheme="majorHAnsi" w:hAnsiTheme="majorHAnsi" w:cstheme="majorHAnsi"/>
        </w:rPr>
      </w:pPr>
    </w:p>
    <w:p w14:paraId="2BC370B4" w14:textId="77777777" w:rsidR="00D71846" w:rsidRPr="00724E1D" w:rsidRDefault="00D71846">
      <w:pPr>
        <w:rPr>
          <w:rFonts w:asciiTheme="majorHAnsi" w:hAnsiTheme="majorHAnsi" w:cstheme="majorHAnsi"/>
        </w:rPr>
      </w:pPr>
    </w:p>
    <w:p w14:paraId="15619E5F" w14:textId="54EBAEF0" w:rsidR="00D71846" w:rsidRDefault="00D71846">
      <w:pPr>
        <w:rPr>
          <w:rFonts w:asciiTheme="majorHAnsi" w:hAnsiTheme="majorHAnsi" w:cstheme="majorHAnsi"/>
        </w:rPr>
      </w:pPr>
    </w:p>
    <w:p w14:paraId="70A3205A" w14:textId="77777777" w:rsidR="00E6210C" w:rsidRPr="00724E1D" w:rsidRDefault="00E6210C">
      <w:pPr>
        <w:rPr>
          <w:rFonts w:asciiTheme="majorHAnsi" w:hAnsiTheme="majorHAnsi" w:cstheme="majorHAnsi"/>
        </w:rPr>
      </w:pPr>
    </w:p>
    <w:p w14:paraId="3178944E" w14:textId="26DEDDB4" w:rsidR="00D71846" w:rsidRPr="00724E1D" w:rsidRDefault="00153C45" w:rsidP="00D71846">
      <w:pPr>
        <w:jc w:val="center"/>
        <w:rPr>
          <w:rFonts w:asciiTheme="majorHAnsi" w:hAnsiTheme="majorHAnsi" w:cstheme="majorHAnsi"/>
          <w:b/>
          <w:sz w:val="40"/>
        </w:rPr>
      </w:pPr>
      <w:r>
        <w:rPr>
          <w:rFonts w:asciiTheme="majorHAnsi" w:hAnsiTheme="majorHAnsi" w:cstheme="majorHAnsi"/>
          <w:b/>
          <w:sz w:val="40"/>
        </w:rPr>
        <w:t xml:space="preserve">Directivity Measurements of </w:t>
      </w:r>
      <w:r w:rsidR="00B81291">
        <w:rPr>
          <w:rFonts w:asciiTheme="majorHAnsi" w:hAnsiTheme="majorHAnsi" w:cstheme="majorHAnsi"/>
          <w:b/>
          <w:sz w:val="40"/>
        </w:rPr>
        <w:t xml:space="preserve">a </w:t>
      </w:r>
      <w:r w:rsidR="0033570B">
        <w:rPr>
          <w:rFonts w:asciiTheme="majorHAnsi" w:hAnsiTheme="majorHAnsi" w:cstheme="majorHAnsi"/>
          <w:b/>
          <w:sz w:val="40"/>
        </w:rPr>
        <w:t xml:space="preserve">Panel </w:t>
      </w:r>
      <w:r>
        <w:rPr>
          <w:rFonts w:asciiTheme="majorHAnsi" w:hAnsiTheme="majorHAnsi" w:cstheme="majorHAnsi"/>
          <w:b/>
          <w:sz w:val="40"/>
        </w:rPr>
        <w:t>Solar Cooker Using a Reciprocity Method</w:t>
      </w:r>
    </w:p>
    <w:p w14:paraId="79DE5285" w14:textId="77777777" w:rsidR="00D71846" w:rsidRPr="00724E1D" w:rsidRDefault="00D71846" w:rsidP="00D71846">
      <w:pPr>
        <w:jc w:val="center"/>
        <w:rPr>
          <w:rFonts w:asciiTheme="majorHAnsi" w:hAnsiTheme="majorHAnsi" w:cstheme="majorHAnsi"/>
          <w:b/>
          <w:sz w:val="36"/>
        </w:rPr>
      </w:pPr>
    </w:p>
    <w:p w14:paraId="61109E84" w14:textId="77777777" w:rsidR="00D71846" w:rsidRPr="00724E1D" w:rsidRDefault="003F4ECA" w:rsidP="00D71846">
      <w:pPr>
        <w:jc w:val="center"/>
        <w:rPr>
          <w:rFonts w:asciiTheme="majorHAnsi" w:hAnsiTheme="majorHAnsi" w:cstheme="majorHAnsi"/>
        </w:rPr>
      </w:pPr>
      <w:r w:rsidRPr="00724E1D">
        <w:rPr>
          <w:rFonts w:asciiTheme="majorHAnsi" w:hAnsiTheme="majorHAnsi" w:cstheme="majorHAnsi"/>
        </w:rPr>
        <w:t>Paul Arveson</w:t>
      </w:r>
    </w:p>
    <w:p w14:paraId="559E24DD" w14:textId="77777777" w:rsidR="00D71846" w:rsidRPr="00724E1D" w:rsidRDefault="00D71846" w:rsidP="00D71846">
      <w:pPr>
        <w:jc w:val="center"/>
        <w:rPr>
          <w:rFonts w:asciiTheme="majorHAnsi" w:hAnsiTheme="majorHAnsi" w:cstheme="majorHAnsi"/>
          <w:sz w:val="32"/>
        </w:rPr>
      </w:pPr>
    </w:p>
    <w:p w14:paraId="2EF9163E" w14:textId="77777777" w:rsidR="00724E1D" w:rsidRDefault="00724E1D" w:rsidP="00D71846">
      <w:pPr>
        <w:jc w:val="center"/>
        <w:rPr>
          <w:rFonts w:asciiTheme="majorHAnsi" w:hAnsiTheme="majorHAnsi" w:cstheme="majorHAnsi"/>
          <w:i/>
        </w:rPr>
      </w:pPr>
      <w:r>
        <w:rPr>
          <w:rFonts w:asciiTheme="majorHAnsi" w:hAnsiTheme="majorHAnsi" w:cstheme="majorHAnsi"/>
          <w:i/>
        </w:rPr>
        <w:t>Director of Research,</w:t>
      </w:r>
    </w:p>
    <w:p w14:paraId="24D707D7" w14:textId="77777777" w:rsidR="00D71846" w:rsidRPr="00724E1D" w:rsidRDefault="003F4ECA" w:rsidP="00D71846">
      <w:pPr>
        <w:jc w:val="center"/>
        <w:rPr>
          <w:rFonts w:asciiTheme="majorHAnsi" w:hAnsiTheme="majorHAnsi" w:cstheme="majorHAnsi"/>
          <w:i/>
        </w:rPr>
      </w:pPr>
      <w:r w:rsidRPr="00724E1D">
        <w:rPr>
          <w:rFonts w:asciiTheme="majorHAnsi" w:hAnsiTheme="majorHAnsi" w:cstheme="majorHAnsi"/>
          <w:i/>
        </w:rPr>
        <w:t xml:space="preserve">Solar Household Energy, Inc. </w:t>
      </w:r>
    </w:p>
    <w:p w14:paraId="6854893C" w14:textId="77777777" w:rsidR="00D71846" w:rsidRPr="00724E1D" w:rsidRDefault="00D71846" w:rsidP="00D71846">
      <w:pPr>
        <w:jc w:val="center"/>
        <w:rPr>
          <w:rFonts w:asciiTheme="majorHAnsi" w:hAnsiTheme="majorHAnsi" w:cstheme="majorHAnsi"/>
          <w:sz w:val="32"/>
        </w:rPr>
      </w:pPr>
    </w:p>
    <w:p w14:paraId="0E21C39A" w14:textId="665D0C4A" w:rsidR="00D71846" w:rsidRPr="00724E1D" w:rsidRDefault="001A24DC" w:rsidP="00D71846">
      <w:pPr>
        <w:jc w:val="center"/>
        <w:rPr>
          <w:rFonts w:asciiTheme="majorHAnsi" w:hAnsiTheme="majorHAnsi" w:cstheme="majorHAnsi"/>
        </w:rPr>
      </w:pPr>
      <w:r>
        <w:rPr>
          <w:rFonts w:asciiTheme="majorHAnsi" w:hAnsiTheme="majorHAnsi" w:cstheme="majorHAnsi"/>
        </w:rPr>
        <w:br/>
      </w:r>
      <w:r w:rsidR="007532E5">
        <w:rPr>
          <w:rFonts w:asciiTheme="majorHAnsi" w:hAnsiTheme="majorHAnsi" w:cstheme="majorHAnsi"/>
        </w:rPr>
        <w:t>December 31</w:t>
      </w:r>
      <w:r w:rsidR="00153C45">
        <w:rPr>
          <w:rFonts w:asciiTheme="majorHAnsi" w:hAnsiTheme="majorHAnsi" w:cstheme="majorHAnsi"/>
        </w:rPr>
        <w:t>, 2024</w:t>
      </w:r>
    </w:p>
    <w:p w14:paraId="4059A7A3" w14:textId="77777777" w:rsidR="00D71846" w:rsidRPr="00724E1D" w:rsidRDefault="00D71846">
      <w:pPr>
        <w:rPr>
          <w:rFonts w:asciiTheme="majorHAnsi" w:hAnsiTheme="majorHAnsi" w:cstheme="majorHAnsi"/>
          <w:sz w:val="32"/>
        </w:rPr>
      </w:pPr>
    </w:p>
    <w:p w14:paraId="4A80F700" w14:textId="77777777" w:rsidR="00D71846" w:rsidRPr="00724E1D" w:rsidRDefault="00D71846">
      <w:pPr>
        <w:rPr>
          <w:rFonts w:asciiTheme="majorHAnsi" w:hAnsiTheme="majorHAnsi" w:cstheme="majorHAnsi"/>
          <w:sz w:val="32"/>
        </w:rPr>
      </w:pPr>
    </w:p>
    <w:p w14:paraId="50908C39" w14:textId="77777777" w:rsidR="00D71846" w:rsidRPr="00724E1D" w:rsidRDefault="00D71846">
      <w:pPr>
        <w:rPr>
          <w:rFonts w:asciiTheme="majorHAnsi" w:hAnsiTheme="majorHAnsi" w:cstheme="majorHAnsi"/>
          <w:sz w:val="28"/>
        </w:rPr>
      </w:pPr>
    </w:p>
    <w:p w14:paraId="54603CA6" w14:textId="77777777" w:rsidR="00D71846" w:rsidRPr="00724E1D" w:rsidRDefault="00D71846">
      <w:pPr>
        <w:rPr>
          <w:rFonts w:asciiTheme="majorHAnsi" w:hAnsiTheme="majorHAnsi" w:cstheme="majorHAnsi"/>
          <w:sz w:val="28"/>
        </w:rPr>
      </w:pPr>
    </w:p>
    <w:p w14:paraId="0B039342" w14:textId="77777777" w:rsidR="00D71846" w:rsidRPr="00724E1D" w:rsidRDefault="00D71846">
      <w:pPr>
        <w:rPr>
          <w:rFonts w:asciiTheme="majorHAnsi" w:hAnsiTheme="majorHAnsi" w:cstheme="majorHAnsi"/>
        </w:rPr>
      </w:pPr>
    </w:p>
    <w:p w14:paraId="2335147C" w14:textId="77777777" w:rsidR="00D71846" w:rsidRPr="00724E1D" w:rsidRDefault="00D71846">
      <w:pPr>
        <w:rPr>
          <w:rFonts w:asciiTheme="majorHAnsi" w:hAnsiTheme="majorHAnsi" w:cstheme="majorHAnsi"/>
        </w:rPr>
      </w:pPr>
    </w:p>
    <w:p w14:paraId="6040EF7A" w14:textId="77777777" w:rsidR="00724E1D" w:rsidRPr="00724E1D" w:rsidRDefault="00724E1D">
      <w:pPr>
        <w:rPr>
          <w:rFonts w:asciiTheme="majorHAnsi" w:hAnsiTheme="majorHAnsi" w:cstheme="majorHAnsi"/>
        </w:rPr>
      </w:pPr>
    </w:p>
    <w:p w14:paraId="36300DE3" w14:textId="77777777" w:rsidR="00724E1D" w:rsidRPr="00724E1D" w:rsidRDefault="00724E1D">
      <w:pPr>
        <w:rPr>
          <w:rFonts w:asciiTheme="majorHAnsi" w:hAnsiTheme="majorHAnsi" w:cstheme="majorHAnsi"/>
        </w:rPr>
      </w:pPr>
    </w:p>
    <w:p w14:paraId="6C918CE3" w14:textId="77777777" w:rsidR="00724E1D" w:rsidRPr="00724E1D" w:rsidRDefault="00724E1D">
      <w:pPr>
        <w:rPr>
          <w:rFonts w:asciiTheme="majorHAnsi" w:hAnsiTheme="majorHAnsi" w:cstheme="majorHAnsi"/>
        </w:rPr>
      </w:pPr>
    </w:p>
    <w:p w14:paraId="26D6CEFC" w14:textId="77777777" w:rsidR="00724E1D" w:rsidRPr="00050451" w:rsidRDefault="00724E1D">
      <w:pPr>
        <w:rPr>
          <w:rFonts w:asciiTheme="majorHAnsi" w:hAnsiTheme="majorHAnsi" w:cstheme="majorHAnsi"/>
        </w:rPr>
      </w:pPr>
    </w:p>
    <w:p w14:paraId="19CF7064" w14:textId="66250D4A" w:rsidR="00570916" w:rsidRPr="00050451" w:rsidRDefault="00570916" w:rsidP="00570916">
      <w:pPr>
        <w:rPr>
          <w:rFonts w:asciiTheme="majorHAnsi" w:hAnsiTheme="majorHAnsi" w:cstheme="majorHAnsi"/>
          <w:sz w:val="20"/>
          <w:szCs w:val="20"/>
        </w:rPr>
      </w:pPr>
      <w:r w:rsidRPr="00050451">
        <w:rPr>
          <w:rFonts w:asciiTheme="majorHAnsi" w:hAnsiTheme="majorHAnsi" w:cstheme="majorHAnsi"/>
          <w:sz w:val="20"/>
          <w:szCs w:val="20"/>
        </w:rPr>
        <w:t>Citation</w:t>
      </w:r>
      <w:proofErr w:type="gramStart"/>
      <w:r w:rsidRPr="00050451">
        <w:rPr>
          <w:rFonts w:asciiTheme="majorHAnsi" w:hAnsiTheme="majorHAnsi" w:cstheme="majorHAnsi"/>
          <w:sz w:val="20"/>
          <w:szCs w:val="20"/>
        </w:rPr>
        <w:t xml:space="preserve">:  </w:t>
      </w:r>
      <w:r w:rsidR="00050451">
        <w:rPr>
          <w:rFonts w:asciiTheme="majorHAnsi" w:hAnsiTheme="majorHAnsi" w:cstheme="majorHAnsi"/>
          <w:sz w:val="20"/>
          <w:szCs w:val="20"/>
        </w:rPr>
        <w:t>Technical</w:t>
      </w:r>
      <w:proofErr w:type="gramEnd"/>
      <w:r w:rsidR="00050451">
        <w:rPr>
          <w:rFonts w:asciiTheme="majorHAnsi" w:hAnsiTheme="majorHAnsi" w:cstheme="majorHAnsi"/>
          <w:sz w:val="20"/>
          <w:szCs w:val="20"/>
        </w:rPr>
        <w:t xml:space="preserve"> Report no. TR-</w:t>
      </w:r>
      <w:r w:rsidR="00721D43">
        <w:rPr>
          <w:rFonts w:asciiTheme="majorHAnsi" w:hAnsiTheme="majorHAnsi" w:cstheme="majorHAnsi"/>
          <w:sz w:val="20"/>
          <w:szCs w:val="20"/>
        </w:rPr>
        <w:t>3</w:t>
      </w:r>
      <w:r w:rsidR="00153C45">
        <w:rPr>
          <w:rFonts w:asciiTheme="majorHAnsi" w:hAnsiTheme="majorHAnsi" w:cstheme="majorHAnsi"/>
          <w:sz w:val="20"/>
          <w:szCs w:val="20"/>
        </w:rPr>
        <w:t>9</w:t>
      </w:r>
      <w:r w:rsidRPr="00050451">
        <w:rPr>
          <w:rFonts w:asciiTheme="majorHAnsi" w:hAnsiTheme="majorHAnsi" w:cstheme="majorHAnsi"/>
          <w:sz w:val="20"/>
          <w:szCs w:val="20"/>
        </w:rPr>
        <w:t>, Solar Household Energy, Inc., (</w:t>
      </w:r>
      <w:r w:rsidR="007532E5">
        <w:rPr>
          <w:rFonts w:asciiTheme="majorHAnsi" w:hAnsiTheme="majorHAnsi" w:cstheme="majorHAnsi"/>
          <w:sz w:val="20"/>
          <w:szCs w:val="20"/>
        </w:rPr>
        <w:t xml:space="preserve">Dec. </w:t>
      </w:r>
      <w:r w:rsidR="00BA3069">
        <w:rPr>
          <w:rFonts w:asciiTheme="majorHAnsi" w:hAnsiTheme="majorHAnsi" w:cstheme="majorHAnsi"/>
          <w:sz w:val="20"/>
          <w:szCs w:val="20"/>
        </w:rPr>
        <w:t>31</w:t>
      </w:r>
      <w:r w:rsidR="00153C45">
        <w:rPr>
          <w:rFonts w:asciiTheme="majorHAnsi" w:hAnsiTheme="majorHAnsi" w:cstheme="majorHAnsi"/>
          <w:sz w:val="20"/>
          <w:szCs w:val="20"/>
        </w:rPr>
        <w:t>, 2024</w:t>
      </w:r>
      <w:r w:rsidRPr="00050451">
        <w:rPr>
          <w:rFonts w:asciiTheme="majorHAnsi" w:hAnsiTheme="majorHAnsi" w:cstheme="majorHAnsi"/>
          <w:sz w:val="20"/>
          <w:szCs w:val="20"/>
        </w:rPr>
        <w:t>)</w:t>
      </w:r>
    </w:p>
    <w:p w14:paraId="461773CF" w14:textId="12EDB861" w:rsidR="00570916" w:rsidRPr="00050451" w:rsidRDefault="00570916" w:rsidP="00570916">
      <w:pPr>
        <w:rPr>
          <w:rFonts w:asciiTheme="majorHAnsi" w:hAnsiTheme="majorHAnsi" w:cstheme="majorHAnsi"/>
          <w:sz w:val="20"/>
          <w:szCs w:val="20"/>
        </w:rPr>
      </w:pPr>
      <w:r w:rsidRPr="00050451">
        <w:rPr>
          <w:rFonts w:asciiTheme="majorHAnsi" w:hAnsiTheme="majorHAnsi" w:cstheme="majorHAnsi"/>
          <w:sz w:val="20"/>
          <w:szCs w:val="20"/>
        </w:rPr>
        <w:t>Copyright © 20</w:t>
      </w:r>
      <w:r w:rsidR="00721D43">
        <w:rPr>
          <w:rFonts w:asciiTheme="majorHAnsi" w:hAnsiTheme="majorHAnsi" w:cstheme="majorHAnsi"/>
          <w:sz w:val="20"/>
          <w:szCs w:val="20"/>
        </w:rPr>
        <w:t>2</w:t>
      </w:r>
      <w:r w:rsidR="00153C45">
        <w:rPr>
          <w:rFonts w:asciiTheme="majorHAnsi" w:hAnsiTheme="majorHAnsi" w:cstheme="majorHAnsi"/>
          <w:sz w:val="20"/>
          <w:szCs w:val="20"/>
        </w:rPr>
        <w:t>4</w:t>
      </w:r>
      <w:r w:rsidRPr="00050451">
        <w:rPr>
          <w:rFonts w:asciiTheme="majorHAnsi" w:hAnsiTheme="majorHAnsi" w:cstheme="majorHAnsi"/>
          <w:sz w:val="20"/>
          <w:szCs w:val="20"/>
        </w:rPr>
        <w:t xml:space="preserve">, Solar Household Energy, Inc.    </w:t>
      </w:r>
    </w:p>
    <w:p w14:paraId="0CC2B0FB" w14:textId="77777777" w:rsidR="00570916" w:rsidRPr="00050451" w:rsidRDefault="00570916" w:rsidP="00570916">
      <w:pPr>
        <w:rPr>
          <w:rFonts w:asciiTheme="majorHAnsi" w:hAnsiTheme="majorHAnsi" w:cstheme="majorHAnsi"/>
          <w:sz w:val="20"/>
          <w:szCs w:val="20"/>
        </w:rPr>
      </w:pPr>
    </w:p>
    <w:p w14:paraId="240C4C6D" w14:textId="77777777" w:rsidR="00570916" w:rsidRPr="00050451" w:rsidRDefault="00570916" w:rsidP="00570916">
      <w:pPr>
        <w:rPr>
          <w:rFonts w:asciiTheme="majorHAnsi" w:hAnsiTheme="majorHAnsi" w:cstheme="majorHAnsi"/>
          <w:sz w:val="20"/>
          <w:szCs w:val="20"/>
        </w:rPr>
      </w:pPr>
      <w:r w:rsidRPr="00050451">
        <w:rPr>
          <w:rFonts w:asciiTheme="majorHAnsi" w:hAnsiTheme="majorHAnsi" w:cstheme="majorHAnsi"/>
          <w:sz w:val="20"/>
          <w:szCs w:val="20"/>
        </w:rPr>
        <w:t xml:space="preserve">Solar Household Energy (SHE) strives to unleash the potential of solar cooking to improve social, economic and environmental conditions in sun-rich areas around the world.  SHE Technical Reports are intended for use within the solar cooking community, for the rapid dissemination of findings related to solar cookers.  They may contain information that is based on limited data, and/or conclusions and recommendations that are solely the opinions of the author, not of the organization.  Please contact the author for further correspondence.  </w:t>
      </w:r>
    </w:p>
    <w:p w14:paraId="06DCB0C4" w14:textId="77777777" w:rsidR="00D03B3C" w:rsidRPr="00724E1D" w:rsidRDefault="00D03B3C">
      <w:pPr>
        <w:rPr>
          <w:rFonts w:asciiTheme="majorHAnsi" w:hAnsiTheme="majorHAnsi" w:cstheme="majorHAnsi"/>
        </w:rPr>
      </w:pPr>
    </w:p>
    <w:p w14:paraId="5B760766" w14:textId="77777777" w:rsidR="00D03B3C" w:rsidRPr="00724E1D" w:rsidRDefault="00D03B3C">
      <w:pPr>
        <w:rPr>
          <w:rFonts w:asciiTheme="majorHAnsi" w:hAnsiTheme="majorHAnsi" w:cstheme="majorHAnsi"/>
        </w:rPr>
      </w:pPr>
    </w:p>
    <w:p w14:paraId="5A06B6BC" w14:textId="77777777" w:rsidR="0041479E" w:rsidRDefault="0041479E"/>
    <w:p w14:paraId="651580FF" w14:textId="42908A08" w:rsidR="003F4ECA" w:rsidRPr="00F164BA" w:rsidRDefault="00153C45" w:rsidP="00F164BA">
      <w:pPr>
        <w:jc w:val="center"/>
        <w:rPr>
          <w:rFonts w:asciiTheme="majorHAnsi" w:hAnsiTheme="majorHAnsi" w:cstheme="majorHAnsi"/>
          <w:b/>
          <w:sz w:val="28"/>
          <w:szCs w:val="28"/>
        </w:rPr>
      </w:pPr>
      <w:r>
        <w:rPr>
          <w:rFonts w:asciiTheme="majorHAnsi" w:hAnsiTheme="majorHAnsi" w:cstheme="majorHAnsi"/>
          <w:b/>
          <w:sz w:val="28"/>
        </w:rPr>
        <w:lastRenderedPageBreak/>
        <w:t xml:space="preserve">Directivity Measurements of </w:t>
      </w:r>
      <w:r w:rsidR="0033570B">
        <w:rPr>
          <w:rFonts w:asciiTheme="majorHAnsi" w:hAnsiTheme="majorHAnsi" w:cstheme="majorHAnsi"/>
          <w:b/>
          <w:sz w:val="28"/>
        </w:rPr>
        <w:t>a Panel</w:t>
      </w:r>
      <w:r>
        <w:rPr>
          <w:rFonts w:asciiTheme="majorHAnsi" w:hAnsiTheme="majorHAnsi" w:cstheme="majorHAnsi"/>
          <w:b/>
          <w:sz w:val="28"/>
        </w:rPr>
        <w:t xml:space="preserve"> Solar Cooker </w:t>
      </w:r>
      <w:r w:rsidR="007532E5">
        <w:rPr>
          <w:rFonts w:asciiTheme="majorHAnsi" w:hAnsiTheme="majorHAnsi" w:cstheme="majorHAnsi"/>
          <w:b/>
          <w:sz w:val="28"/>
        </w:rPr>
        <w:br/>
      </w:r>
      <w:r>
        <w:rPr>
          <w:rFonts w:asciiTheme="majorHAnsi" w:hAnsiTheme="majorHAnsi" w:cstheme="majorHAnsi"/>
          <w:b/>
          <w:sz w:val="28"/>
        </w:rPr>
        <w:t>Using a Reciprocity Method</w:t>
      </w:r>
    </w:p>
    <w:p w14:paraId="5FED1D72" w14:textId="77777777" w:rsidR="00411FF1" w:rsidRDefault="00411FF1" w:rsidP="003F4ECA">
      <w:pPr>
        <w:jc w:val="center"/>
        <w:rPr>
          <w:rFonts w:asciiTheme="majorHAnsi" w:hAnsiTheme="majorHAnsi" w:cstheme="majorHAnsi"/>
        </w:rPr>
      </w:pPr>
    </w:p>
    <w:p w14:paraId="0502AF5A" w14:textId="2B6F17B4" w:rsidR="003F4ECA" w:rsidRPr="003721AA" w:rsidRDefault="003F4ECA" w:rsidP="003F4ECA">
      <w:pPr>
        <w:jc w:val="center"/>
      </w:pPr>
      <w:r w:rsidRPr="003721AA">
        <w:t>Paul Arveson</w:t>
      </w:r>
    </w:p>
    <w:p w14:paraId="530DB4B6" w14:textId="77777777" w:rsidR="003F4ECA" w:rsidRPr="00724E1D" w:rsidRDefault="003F4ECA" w:rsidP="003F4ECA">
      <w:pPr>
        <w:jc w:val="center"/>
        <w:rPr>
          <w:rFonts w:asciiTheme="majorHAnsi" w:hAnsiTheme="majorHAnsi" w:cstheme="majorHAnsi"/>
          <w:b/>
          <w:i/>
        </w:rPr>
      </w:pPr>
    </w:p>
    <w:p w14:paraId="0B787187" w14:textId="440561C8" w:rsidR="003F4ECA" w:rsidRPr="003721AA" w:rsidRDefault="003F4ECA" w:rsidP="003F4ECA">
      <w:pPr>
        <w:rPr>
          <w:i/>
        </w:rPr>
      </w:pPr>
      <w:r w:rsidRPr="003721AA">
        <w:rPr>
          <w:b/>
          <w:bCs/>
          <w:i/>
        </w:rPr>
        <w:t>Abstract:</w:t>
      </w:r>
      <w:r w:rsidRPr="003721AA">
        <w:rPr>
          <w:i/>
        </w:rPr>
        <w:t xml:space="preserve"> This report </w:t>
      </w:r>
      <w:r w:rsidR="00E6274A" w:rsidRPr="003721AA">
        <w:rPr>
          <w:i/>
        </w:rPr>
        <w:t>describes a method for measuring</w:t>
      </w:r>
      <w:r w:rsidRPr="003721AA">
        <w:rPr>
          <w:i/>
        </w:rPr>
        <w:t xml:space="preserve"> </w:t>
      </w:r>
      <w:r w:rsidR="00D02AA6" w:rsidRPr="003721AA">
        <w:rPr>
          <w:i/>
        </w:rPr>
        <w:t>directivity of a typical panel solar cooker, the Haines model 2</w:t>
      </w:r>
      <w:r w:rsidRPr="003721AA">
        <w:rPr>
          <w:i/>
        </w:rPr>
        <w:t xml:space="preserve">.  </w:t>
      </w:r>
      <w:r w:rsidR="00E6274A" w:rsidRPr="003721AA">
        <w:rPr>
          <w:i/>
        </w:rPr>
        <w:t>A</w:t>
      </w:r>
      <w:r w:rsidR="00D62AE2" w:rsidRPr="003721AA">
        <w:rPr>
          <w:i/>
        </w:rPr>
        <w:t xml:space="preserve"> previous Technical Report, TR-</w:t>
      </w:r>
      <w:r w:rsidR="00D02AA6" w:rsidRPr="003721AA">
        <w:rPr>
          <w:i/>
        </w:rPr>
        <w:t>2</w:t>
      </w:r>
      <w:r w:rsidR="00D62AE2" w:rsidRPr="003721AA">
        <w:rPr>
          <w:i/>
        </w:rPr>
        <w:t>7</w:t>
      </w:r>
      <w:r w:rsidR="00BF1D96">
        <w:rPr>
          <w:i/>
        </w:rPr>
        <w:t>a</w:t>
      </w:r>
      <w:r w:rsidR="00BD2CEB" w:rsidRPr="003721AA">
        <w:rPr>
          <w:i/>
        </w:rPr>
        <w:t xml:space="preserve"> [1]</w:t>
      </w:r>
      <w:r w:rsidR="00E6274A" w:rsidRPr="003721AA">
        <w:rPr>
          <w:i/>
        </w:rPr>
        <w:t xml:space="preserve"> </w:t>
      </w:r>
      <w:r w:rsidR="00D02AA6" w:rsidRPr="003721AA">
        <w:rPr>
          <w:i/>
        </w:rPr>
        <w:t xml:space="preserve">conducted a similar measurement on a Haines model 1, using a similar reciprocity method.  These studies reveal the importance of Sun angle and cooker directivity on </w:t>
      </w:r>
      <w:r w:rsidR="006B463B" w:rsidRPr="003721AA">
        <w:rPr>
          <w:i/>
        </w:rPr>
        <w:t xml:space="preserve">power measurements.  </w:t>
      </w:r>
      <w:r w:rsidR="005F555A">
        <w:rPr>
          <w:i/>
        </w:rPr>
        <w:t>Directivity has</w:t>
      </w:r>
      <w:r w:rsidR="006B463B" w:rsidRPr="003721AA">
        <w:rPr>
          <w:i/>
        </w:rPr>
        <w:t xml:space="preserve"> implications for the standardization of measurements of cooking power.  </w:t>
      </w:r>
    </w:p>
    <w:p w14:paraId="24DC8F59" w14:textId="77777777" w:rsidR="006B463B" w:rsidRDefault="006B463B" w:rsidP="003F4ECA">
      <w:pPr>
        <w:rPr>
          <w:rFonts w:asciiTheme="majorHAnsi" w:hAnsiTheme="majorHAnsi" w:cstheme="majorHAnsi"/>
          <w:i/>
        </w:rPr>
      </w:pPr>
    </w:p>
    <w:p w14:paraId="48FA860C" w14:textId="6A483AEB" w:rsidR="00700E7B" w:rsidRPr="007C602B" w:rsidRDefault="006B463B" w:rsidP="003F4ECA">
      <w:r w:rsidRPr="007C602B">
        <w:rPr>
          <w:b/>
          <w:bCs/>
        </w:rPr>
        <w:t>Introduction</w:t>
      </w:r>
      <w:r w:rsidRPr="007C602B">
        <w:br/>
        <w:t xml:space="preserve">Panel-type solar cookers, and to some extent box-type solar cookers </w:t>
      </w:r>
      <w:r w:rsidR="00700E7B" w:rsidRPr="007C602B">
        <w:t xml:space="preserve">have cooking performance that is </w:t>
      </w:r>
      <w:r w:rsidR="001B42BB" w:rsidRPr="007C602B">
        <w:t>dependent</w:t>
      </w:r>
      <w:r w:rsidR="00700E7B" w:rsidRPr="007C602B">
        <w:t xml:space="preserve"> on the latitude of the location and the Sun angles during which food is cooked (or a power measurement is being taken).   </w:t>
      </w:r>
      <w:r w:rsidR="007739AB" w:rsidRPr="007C602B">
        <w:t>Only t</w:t>
      </w:r>
      <w:r w:rsidR="00700E7B" w:rsidRPr="007C602B">
        <w:t>he vertical angle directivity of the device is considered here.  Directivity</w:t>
      </w:r>
      <w:r w:rsidR="007739AB" w:rsidRPr="007C602B">
        <w:t xml:space="preserve"> measurements</w:t>
      </w:r>
      <w:r w:rsidR="00700E7B" w:rsidRPr="007C602B">
        <w:t xml:space="preserve"> in the horizontal (or azimuthal) direction </w:t>
      </w:r>
      <w:r w:rsidR="007739AB" w:rsidRPr="007C602B">
        <w:t>are</w:t>
      </w:r>
      <w:r w:rsidR="00700E7B" w:rsidRPr="007C602B">
        <w:t xml:space="preserve"> not </w:t>
      </w:r>
      <w:r w:rsidR="007739AB" w:rsidRPr="007C602B">
        <w:t>useful</w:t>
      </w:r>
      <w:r w:rsidR="00A16D69" w:rsidRPr="007C602B">
        <w:t xml:space="preserve">, because users are advised to turn the cooker towards the Sun direction frequently to maximize cooking </w:t>
      </w:r>
      <w:r w:rsidR="00021F8D" w:rsidRPr="007C602B">
        <w:t>power</w:t>
      </w:r>
      <w:r w:rsidR="00A16D69" w:rsidRPr="007C602B">
        <w:t xml:space="preserve">.  </w:t>
      </w:r>
      <w:r w:rsidR="007739AB" w:rsidRPr="007C602B">
        <w:t>(</w:t>
      </w:r>
      <w:r w:rsidR="00A16D69" w:rsidRPr="007C602B">
        <w:t>Parabolic cookers, of course, are intended to be aimed toward the Sun in both directions</w:t>
      </w:r>
      <w:r w:rsidR="007739AB" w:rsidRPr="007C602B">
        <w:t>)</w:t>
      </w:r>
      <w:r w:rsidR="00A16D69" w:rsidRPr="007C602B">
        <w:t xml:space="preserve">. </w:t>
      </w:r>
    </w:p>
    <w:p w14:paraId="2B55CA37" w14:textId="77777777" w:rsidR="007739AB" w:rsidRDefault="007739AB" w:rsidP="003F4ECA">
      <w:pPr>
        <w:rPr>
          <w:rFonts w:asciiTheme="majorHAnsi" w:hAnsiTheme="majorHAnsi" w:cstheme="majorHAnsi"/>
        </w:rPr>
      </w:pPr>
    </w:p>
    <w:p w14:paraId="1F9B4BD4" w14:textId="11D50FD5" w:rsidR="00F871B9" w:rsidRPr="003721AA" w:rsidRDefault="00F871B9" w:rsidP="003F4ECA">
      <w:pPr>
        <w:rPr>
          <w:b/>
          <w:bCs/>
        </w:rPr>
      </w:pPr>
      <w:r w:rsidRPr="003721AA">
        <w:rPr>
          <w:b/>
          <w:bCs/>
        </w:rPr>
        <w:t xml:space="preserve">Effect of Latitude on Sun </w:t>
      </w:r>
      <w:r w:rsidR="00940426">
        <w:rPr>
          <w:b/>
          <w:bCs/>
        </w:rPr>
        <w:t>Elevation</w:t>
      </w:r>
    </w:p>
    <w:p w14:paraId="1817204F" w14:textId="7E1F1F7D" w:rsidR="00F871B9" w:rsidRDefault="00F871B9" w:rsidP="003F4ECA">
      <w:pPr>
        <w:rPr>
          <w:rFonts w:asciiTheme="majorHAnsi" w:hAnsiTheme="majorHAnsi" w:cstheme="majorHAnsi"/>
        </w:rPr>
      </w:pPr>
      <w:r w:rsidRPr="003721AA">
        <w:t xml:space="preserve">There is a </w:t>
      </w:r>
      <w:r w:rsidR="00017A80" w:rsidRPr="003721AA">
        <w:t>precise</w:t>
      </w:r>
      <w:r w:rsidRPr="003721AA">
        <w:t xml:space="preserve"> predictable Sun </w:t>
      </w:r>
      <w:r w:rsidR="00940426">
        <w:t>elevation</w:t>
      </w:r>
      <w:r w:rsidR="00780E66" w:rsidRPr="003721AA">
        <w:t xml:space="preserve"> (vertical </w:t>
      </w:r>
      <w:r w:rsidRPr="003721AA">
        <w:t>angle</w:t>
      </w:r>
      <w:r w:rsidR="00780E66" w:rsidRPr="003721AA">
        <w:t xml:space="preserve"> relative to the local horizontal)</w:t>
      </w:r>
      <w:r w:rsidRPr="003721AA">
        <w:t xml:space="preserve"> </w:t>
      </w:r>
      <w:r w:rsidR="00780E66" w:rsidRPr="003721AA">
        <w:t>at</w:t>
      </w:r>
      <w:r w:rsidRPr="003721AA">
        <w:t xml:space="preserve"> any </w:t>
      </w:r>
      <w:r w:rsidR="001B42BB" w:rsidRPr="003721AA">
        <w:t>time</w:t>
      </w:r>
      <w:r w:rsidRPr="003721AA">
        <w:t xml:space="preserve"> and location on the Earth, due to the astronom</w:t>
      </w:r>
      <w:r w:rsidR="00017A80">
        <w:t>ical</w:t>
      </w:r>
      <w:r w:rsidRPr="003721AA">
        <w:t xml:space="preserve"> variables that affect the Earth’s orientation in space.  </w:t>
      </w:r>
      <w:r w:rsidR="00780E66" w:rsidRPr="003721AA">
        <w:t xml:space="preserve">The Earth’s axis is tilted by 23.45 degrees from the plane of the </w:t>
      </w:r>
      <w:r w:rsidR="0066094A" w:rsidRPr="003721AA">
        <w:t>Earth’s orbit (solar declination).  The declination</w:t>
      </w:r>
      <w:r w:rsidR="000A707C" w:rsidRPr="003721AA">
        <w:t xml:space="preserve"> angle in degrees</w:t>
      </w:r>
      <w:r w:rsidR="0066094A" w:rsidRPr="003721AA">
        <w:t xml:space="preserve"> is given by</w:t>
      </w:r>
      <w:r w:rsidR="0066094A">
        <w:rPr>
          <w:rFonts w:asciiTheme="majorHAnsi" w:hAnsiTheme="majorHAnsi" w:cstheme="majorHAnsi"/>
        </w:rPr>
        <w:t xml:space="preserve"> </w:t>
      </w:r>
      <w:r w:rsidR="00BF1D96">
        <w:rPr>
          <w:rFonts w:asciiTheme="majorHAnsi" w:hAnsiTheme="majorHAnsi" w:cstheme="majorHAnsi"/>
        </w:rPr>
        <w:t>[2]</w:t>
      </w:r>
    </w:p>
    <w:p w14:paraId="25909364" w14:textId="0AAFD293" w:rsidR="0066094A" w:rsidRDefault="00F577CD" w:rsidP="000A707C">
      <w:pPr>
        <w:jc w:val="center"/>
        <w:rPr>
          <w:rFonts w:asciiTheme="majorHAnsi" w:hAnsiTheme="majorHAnsi" w:cstheme="majorHAnsi"/>
        </w:rPr>
      </w:pPr>
      <w:r w:rsidRPr="000A707C">
        <w:rPr>
          <w:rFonts w:asciiTheme="majorHAnsi" w:hAnsiTheme="majorHAnsi" w:cstheme="majorHAnsi"/>
          <w:noProof/>
          <w:position w:val="-24"/>
        </w:rPr>
        <w:drawing>
          <wp:inline distT="0" distB="0" distL="0" distR="0" wp14:anchorId="0BA69C73" wp14:editId="0FACA98B">
            <wp:extent cx="2305050" cy="452455"/>
            <wp:effectExtent l="0" t="0" r="0" b="5080"/>
            <wp:docPr id="1218465148" name="Picture 1218465148" descr="{&quot;mathml&quot;:&quot;&lt;math style=\&quot;font-family:stix;font-size:16px;\&quot; xmlns=\&quot;http://www.w3.org/1998/Math/MathML\&quot;&gt;&lt;mstyle mathsize=\&quot;16px\&quot;&gt;&lt;mi&gt;&amp;#x3B4;&lt;/mi&gt;&lt;mo&gt;&amp;#xA0;&lt;/mo&gt;&lt;mo&gt;=&lt;/mo&gt;&lt;mo&gt;&amp;#xA0;&lt;/mo&gt;&lt;mn&gt;23&lt;/mn&gt;&lt;mo&gt;.&lt;/mo&gt;&lt;mn&gt;45&lt;/mn&gt;&lt;mo&gt;&amp;#xA0;&lt;/mo&gt;&lt;mi&gt;sin&lt;/mi&gt;&lt;mo&gt;&amp;#xA0;&lt;/mo&gt;&lt;mfenced&gt;&lt;mfrac&gt;&lt;mrow&gt;&lt;mn&gt;360&lt;/mn&gt;&lt;mo&gt;&amp;#xA0;&lt;/mo&gt;&lt;mfenced&gt;&lt;mrow&gt;&lt;mn&gt;284&lt;/mn&gt;&lt;mo&gt;&amp;#xA0;&lt;/mo&gt;&lt;mo&gt;+&lt;/mo&gt;&lt;mo&gt;&amp;#xA0;&lt;/mo&gt;&lt;mi&gt;n&lt;/mi&gt;&lt;/mrow&gt;&lt;/mfenced&gt;&lt;/mrow&gt;&lt;mn&gt;365&lt;/mn&gt;&lt;/mfrac&gt;&lt;/mfenced&gt;&lt;/mstyle&gt;&lt;/math&gt;&quot;,&quot;origin&quot;:&quot;MathType for Microsoft Add-in&quot;}" title="delta space equals space 23.45 space sin space open parentheses fraction numerator 360 space open parentheses 284 space plus space n close parentheses over denominator 365 end fraction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amp;#x3B4;&lt;/mi&gt;&lt;mo&gt;&amp;#xA0;&lt;/mo&gt;&lt;mo&gt;=&lt;/mo&gt;&lt;mo&gt;&amp;#xA0;&lt;/mo&gt;&lt;mn&gt;23&lt;/mn&gt;&lt;mo&gt;.&lt;/mo&gt;&lt;mn&gt;45&lt;/mn&gt;&lt;mo&gt;&amp;#xA0;&lt;/mo&gt;&lt;mi&gt;sin&lt;/mi&gt;&lt;mo&gt;&amp;#xA0;&lt;/mo&gt;&lt;mfenced&gt;&lt;mfrac&gt;&lt;mrow&gt;&lt;mn&gt;360&lt;/mn&gt;&lt;mo&gt;&amp;#xA0;&lt;/mo&gt;&lt;mfenced&gt;&lt;mrow&gt;&lt;mn&gt;284&lt;/mn&gt;&lt;mo&gt;&amp;#xA0;&lt;/mo&gt;&lt;mo&gt;+&lt;/mo&gt;&lt;mo&gt;&amp;#xA0;&lt;/mo&gt;&lt;mi&gt;n&lt;/mi&gt;&lt;/mrow&gt;&lt;/mfenced&gt;&lt;/mrow&gt;&lt;mn&gt;365&lt;/mn&gt;&lt;/mfrac&gt;&lt;/mfenced&gt;&lt;/mstyle&gt;&lt;/math&gt;&quot;,&quot;origin&quot;:&quot;MathType for Microsoft Add-in&quot;}" title="delta space equals space 23.45 space sin space open parentheses fraction numerator 360 space open parentheses 284 space plus space n close parentheses over denominator 365 end fraction close parenthes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949" cy="456361"/>
                    </a:xfrm>
                    <a:prstGeom prst="rect">
                      <a:avLst/>
                    </a:prstGeom>
                  </pic:spPr>
                </pic:pic>
              </a:graphicData>
            </a:graphic>
          </wp:inline>
        </w:drawing>
      </w:r>
      <w:r w:rsidR="000A707C">
        <w:rPr>
          <w:rFonts w:asciiTheme="majorHAnsi" w:hAnsiTheme="majorHAnsi" w:cstheme="majorHAnsi"/>
        </w:rPr>
        <w:t xml:space="preserve"> .</w:t>
      </w:r>
    </w:p>
    <w:p w14:paraId="76AEB615" w14:textId="77777777" w:rsidR="00F871B9" w:rsidRDefault="00F871B9" w:rsidP="003F4ECA">
      <w:pPr>
        <w:rPr>
          <w:rFonts w:asciiTheme="majorHAnsi" w:hAnsiTheme="majorHAnsi" w:cstheme="majorHAnsi"/>
        </w:rPr>
      </w:pPr>
    </w:p>
    <w:p w14:paraId="49D6E25A" w14:textId="28129E29" w:rsidR="00F871B9" w:rsidRPr="003721AA" w:rsidRDefault="00E730D6" w:rsidP="003F4ECA">
      <w:r>
        <w:t>The</w:t>
      </w:r>
      <w:r w:rsidR="000F7623" w:rsidRPr="003721AA">
        <w:t xml:space="preserve"> Sun’s angle at a particular hour of the day</w:t>
      </w:r>
      <w:r>
        <w:t xml:space="preserve"> is </w:t>
      </w:r>
      <w:r w:rsidR="00C45E1A">
        <w:t>based on the</w:t>
      </w:r>
      <w:r w:rsidR="000F7623" w:rsidRPr="003721AA">
        <w:t xml:space="preserve"> hour angle</w:t>
      </w:r>
      <w:r w:rsidR="00C45E1A">
        <w:t xml:space="preserve"> </w:t>
      </w:r>
      <w:r w:rsidR="008E6BFF" w:rsidRPr="008E6BFF">
        <w:rPr>
          <w:i/>
          <w:iCs/>
        </w:rPr>
        <w:t>h</w:t>
      </w:r>
      <w:r w:rsidR="008E6BFF">
        <w:t xml:space="preserve"> </w:t>
      </w:r>
      <w:r w:rsidR="00C45E1A">
        <w:t xml:space="preserve">relative to 0 at solar noon.  </w:t>
      </w:r>
      <w:r w:rsidR="000F7623" w:rsidRPr="003721AA">
        <w:t xml:space="preserve"> </w:t>
      </w:r>
    </w:p>
    <w:p w14:paraId="1A8F8161" w14:textId="77777777" w:rsidR="003721AA" w:rsidRDefault="003721AA" w:rsidP="003F4ECA"/>
    <w:p w14:paraId="0D17798D" w14:textId="785869D7" w:rsidR="003721AA" w:rsidRDefault="003721AA" w:rsidP="003F4ECA">
      <w:r>
        <w:t xml:space="preserve">Finally, to determine the local solar </w:t>
      </w:r>
      <w:r w:rsidR="00566D8D">
        <w:t>elevation</w:t>
      </w:r>
      <w:r>
        <w:t xml:space="preserve"> angle </w:t>
      </w:r>
      <w:r w:rsidRPr="007B334C">
        <w:rPr>
          <w:b/>
          <w:bCs/>
          <w:i/>
          <w:iCs/>
        </w:rPr>
        <w:t>a</w:t>
      </w:r>
      <w:r w:rsidR="00AE2479" w:rsidRPr="007B334C">
        <w:rPr>
          <w:b/>
          <w:bCs/>
          <w:i/>
          <w:iCs/>
          <w:vertAlign w:val="subscript"/>
        </w:rPr>
        <w:t>s</w:t>
      </w:r>
      <w:r w:rsidR="00AE2479" w:rsidRPr="007B334C">
        <w:rPr>
          <w:b/>
          <w:bCs/>
        </w:rPr>
        <w:t xml:space="preserve"> </w:t>
      </w:r>
      <w:r w:rsidR="007B334C">
        <w:t xml:space="preserve">-- </w:t>
      </w:r>
      <w:r>
        <w:t xml:space="preserve">the angle between the Sun and the local horizontal plane, we compute </w:t>
      </w:r>
    </w:p>
    <w:p w14:paraId="4EAC2022" w14:textId="354C3C29" w:rsidR="008339B2" w:rsidRDefault="008E6BFF" w:rsidP="008E6BFF">
      <w:pPr>
        <w:jc w:val="center"/>
      </w:pPr>
      <w:r>
        <w:rPr>
          <w:noProof/>
        </w:rPr>
        <w:drawing>
          <wp:inline distT="0" distB="0" distL="0" distR="0" wp14:anchorId="3F0A5EA4" wp14:editId="3BC2A54D">
            <wp:extent cx="2966085" cy="341630"/>
            <wp:effectExtent l="0" t="0" r="5715" b="0"/>
            <wp:docPr id="906477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085" cy="341630"/>
                    </a:xfrm>
                    <a:prstGeom prst="rect">
                      <a:avLst/>
                    </a:prstGeom>
                    <a:noFill/>
                    <a:ln>
                      <a:noFill/>
                    </a:ln>
                  </pic:spPr>
                </pic:pic>
              </a:graphicData>
            </a:graphic>
          </wp:inline>
        </w:drawing>
      </w:r>
    </w:p>
    <w:p w14:paraId="141304BD" w14:textId="241A23AE" w:rsidR="00D513C0" w:rsidRDefault="004E6B6D" w:rsidP="001B3689">
      <w:r>
        <w:t>w</w:t>
      </w:r>
      <w:r w:rsidR="00C94630">
        <w:t xml:space="preserve">here </w:t>
      </w:r>
      <w:r w:rsidR="00C94630" w:rsidRPr="002B64FC">
        <w:rPr>
          <w:rFonts w:ascii="Symbol" w:hAnsi="Symbol"/>
        </w:rPr>
        <w:t>F</w:t>
      </w:r>
      <w:r w:rsidR="00C94630">
        <w:t xml:space="preserve"> is the local latitude</w:t>
      </w:r>
      <w:r w:rsidR="002B64FC">
        <w:t xml:space="preserve">.  </w:t>
      </w:r>
      <w:r>
        <w:t xml:space="preserve">The solar elevation angle (relative to </w:t>
      </w:r>
      <w:r w:rsidR="00DF6EF7">
        <w:t xml:space="preserve">horizontal) </w:t>
      </w:r>
      <w:r w:rsidR="004759F9">
        <w:t xml:space="preserve">is </w:t>
      </w:r>
      <w:r w:rsidR="004759F9" w:rsidRPr="007B334C">
        <w:rPr>
          <w:b/>
          <w:bCs/>
          <w:i/>
          <w:iCs/>
        </w:rPr>
        <w:t>a</w:t>
      </w:r>
      <w:r w:rsidR="004759F9" w:rsidRPr="004759F9">
        <w:rPr>
          <w:vertAlign w:val="subscript"/>
        </w:rPr>
        <w:t>s</w:t>
      </w:r>
      <w:r w:rsidR="00566D8D">
        <w:t xml:space="preserve"> which</w:t>
      </w:r>
      <w:r w:rsidR="003A6494">
        <w:t xml:space="preserve"> is </w:t>
      </w:r>
      <w:r w:rsidR="00940426">
        <w:t>found</w:t>
      </w:r>
      <w:r w:rsidR="003A6494">
        <w:t xml:space="preserve"> by taking the arcsine.  </w:t>
      </w:r>
    </w:p>
    <w:p w14:paraId="58B9D958" w14:textId="77777777" w:rsidR="004759F9" w:rsidRDefault="004759F9" w:rsidP="001B3689"/>
    <w:p w14:paraId="1B75AA91" w14:textId="77777777" w:rsidR="004759F9" w:rsidRDefault="004759F9" w:rsidP="001B3689"/>
    <w:p w14:paraId="57F80C64" w14:textId="77777777" w:rsidR="004759F9" w:rsidRDefault="004759F9" w:rsidP="001B3689"/>
    <w:p w14:paraId="3B833973" w14:textId="77777777" w:rsidR="004759F9" w:rsidRDefault="004759F9" w:rsidP="001B3689"/>
    <w:p w14:paraId="0ECB5B62" w14:textId="77777777" w:rsidR="004759F9" w:rsidRDefault="004759F9" w:rsidP="001B3689"/>
    <w:p w14:paraId="4F4A6835" w14:textId="77777777" w:rsidR="008339B2" w:rsidRDefault="008339B2" w:rsidP="001B3689"/>
    <w:p w14:paraId="4FFC13E4" w14:textId="205B53B7" w:rsidR="003A6494" w:rsidRDefault="00004B2E" w:rsidP="003F4ECA">
      <w:r>
        <w:lastRenderedPageBreak/>
        <w:t>S</w:t>
      </w:r>
      <w:r w:rsidR="00032F09">
        <w:t>hown below are s</w:t>
      </w:r>
      <w:r>
        <w:t>ample v</w:t>
      </w:r>
      <w:r w:rsidR="003A6494">
        <w:t>a</w:t>
      </w:r>
      <w:r w:rsidR="003B41D9">
        <w:t>lues of</w:t>
      </w:r>
      <w:r w:rsidR="003A6494">
        <w:t xml:space="preserve"> the Sun’s angle at noon</w:t>
      </w:r>
      <w:r w:rsidR="008E6BFF">
        <w:t xml:space="preserve"> (</w:t>
      </w:r>
      <w:r w:rsidR="008E6BFF" w:rsidRPr="008E6BFF">
        <w:rPr>
          <w:i/>
          <w:iCs/>
        </w:rPr>
        <w:t>h</w:t>
      </w:r>
      <w:r w:rsidR="008E6BFF">
        <w:t xml:space="preserve"> = 0)</w:t>
      </w:r>
      <w:r w:rsidR="003A6494">
        <w:t xml:space="preserve">, for the dates of </w:t>
      </w:r>
      <w:r w:rsidR="005B754C">
        <w:t>no</w:t>
      </w:r>
      <w:r w:rsidR="00017A80">
        <w:t>r</w:t>
      </w:r>
      <w:r w:rsidR="005B754C">
        <w:t xml:space="preserve">thern hemisphere summer and </w:t>
      </w:r>
      <w:r w:rsidR="003A6494">
        <w:t>winter solstice at a range of latitudes (</w:t>
      </w:r>
      <w:r w:rsidR="00032F09">
        <w:t>latitudes</w:t>
      </w:r>
      <w:r w:rsidR="00AE15A0">
        <w:t xml:space="preserve"> are negative </w:t>
      </w:r>
      <w:r w:rsidR="000C1FFE">
        <w:t xml:space="preserve">south of </w:t>
      </w:r>
      <w:r w:rsidR="00AE15A0">
        <w:t>the equator).</w:t>
      </w:r>
      <w:r w:rsidR="00F75689">
        <w:t xml:space="preserve">  Other values may be found using the NOAA calculator [</w:t>
      </w:r>
      <w:r w:rsidR="00553FDD">
        <w:t>3</w:t>
      </w:r>
      <w:r w:rsidR="00F75689">
        <w:t>].</w:t>
      </w:r>
    </w:p>
    <w:p w14:paraId="0F9DB577" w14:textId="77777777" w:rsidR="005559C6" w:rsidRDefault="005559C6" w:rsidP="003F4ECA"/>
    <w:tbl>
      <w:tblPr>
        <w:tblW w:w="5940" w:type="dxa"/>
        <w:jc w:val="center"/>
        <w:tblLook w:val="04A0" w:firstRow="1" w:lastRow="0" w:firstColumn="1" w:lastColumn="0" w:noHBand="0" w:noVBand="1"/>
      </w:tblPr>
      <w:tblGrid>
        <w:gridCol w:w="1720"/>
        <w:gridCol w:w="2080"/>
        <w:gridCol w:w="2140"/>
      </w:tblGrid>
      <w:tr w:rsidR="003A6494" w14:paraId="30F280FC"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55C6EAAE" w14:textId="003C467C" w:rsidR="003A6494" w:rsidRPr="00BF4DF5" w:rsidRDefault="003A6494">
            <w:pPr>
              <w:jc w:val="center"/>
              <w:rPr>
                <w:color w:val="000000"/>
                <w:sz w:val="22"/>
                <w:szCs w:val="22"/>
              </w:rPr>
            </w:pPr>
            <w:r w:rsidRPr="00BF4DF5">
              <w:rPr>
                <w:color w:val="000000"/>
                <w:sz w:val="22"/>
                <w:szCs w:val="22"/>
              </w:rPr>
              <w:t xml:space="preserve">Latitude, </w:t>
            </w:r>
            <w:r w:rsidR="005B754C" w:rsidRPr="00BF4DF5">
              <w:rPr>
                <w:color w:val="000000"/>
                <w:sz w:val="22"/>
                <w:szCs w:val="22"/>
              </w:rPr>
              <w:br/>
            </w:r>
            <w:r w:rsidRPr="00BF4DF5">
              <w:rPr>
                <w:color w:val="000000"/>
                <w:sz w:val="22"/>
                <w:szCs w:val="22"/>
              </w:rPr>
              <w:t>deg</w:t>
            </w:r>
            <w:r w:rsidR="005B754C" w:rsidRPr="00BF4DF5">
              <w:rPr>
                <w:color w:val="000000"/>
                <w:sz w:val="22"/>
                <w:szCs w:val="22"/>
              </w:rPr>
              <w:t>rees</w:t>
            </w:r>
            <w:r w:rsidRPr="00BF4DF5">
              <w:rPr>
                <w:color w:val="000000"/>
                <w:sz w:val="22"/>
                <w:szCs w:val="22"/>
              </w:rPr>
              <w:t xml:space="preserve"> </w:t>
            </w:r>
          </w:p>
        </w:tc>
        <w:tc>
          <w:tcPr>
            <w:tcW w:w="2080" w:type="dxa"/>
            <w:tcBorders>
              <w:top w:val="nil"/>
              <w:left w:val="nil"/>
              <w:bottom w:val="nil"/>
              <w:right w:val="nil"/>
            </w:tcBorders>
            <w:shd w:val="clear" w:color="auto" w:fill="auto"/>
            <w:noWrap/>
            <w:vAlign w:val="bottom"/>
            <w:hideMark/>
          </w:tcPr>
          <w:p w14:paraId="4B25EB01" w14:textId="60261B56" w:rsidR="003A6494" w:rsidRPr="00BF4DF5" w:rsidRDefault="003A6494">
            <w:pPr>
              <w:jc w:val="center"/>
              <w:rPr>
                <w:color w:val="000000"/>
                <w:sz w:val="22"/>
                <w:szCs w:val="22"/>
              </w:rPr>
            </w:pPr>
            <w:r w:rsidRPr="00BF4DF5">
              <w:rPr>
                <w:color w:val="000000"/>
                <w:sz w:val="22"/>
                <w:szCs w:val="22"/>
              </w:rPr>
              <w:t xml:space="preserve">Sun Altitude, </w:t>
            </w:r>
            <w:r w:rsidR="000C5883" w:rsidRPr="00BF4DF5">
              <w:rPr>
                <w:color w:val="000000"/>
                <w:sz w:val="22"/>
                <w:szCs w:val="22"/>
              </w:rPr>
              <w:t>Summer</w:t>
            </w:r>
          </w:p>
        </w:tc>
        <w:tc>
          <w:tcPr>
            <w:tcW w:w="2140" w:type="dxa"/>
            <w:tcBorders>
              <w:top w:val="nil"/>
              <w:left w:val="nil"/>
              <w:bottom w:val="nil"/>
              <w:right w:val="nil"/>
            </w:tcBorders>
            <w:shd w:val="clear" w:color="auto" w:fill="auto"/>
            <w:noWrap/>
            <w:vAlign w:val="bottom"/>
            <w:hideMark/>
          </w:tcPr>
          <w:p w14:paraId="08B55E62" w14:textId="0109862F" w:rsidR="003A6494" w:rsidRPr="00BF4DF5" w:rsidRDefault="003A6494">
            <w:pPr>
              <w:jc w:val="center"/>
              <w:rPr>
                <w:color w:val="000000"/>
                <w:sz w:val="22"/>
                <w:szCs w:val="22"/>
              </w:rPr>
            </w:pPr>
            <w:r w:rsidRPr="00BF4DF5">
              <w:rPr>
                <w:color w:val="000000"/>
                <w:sz w:val="22"/>
                <w:szCs w:val="22"/>
              </w:rPr>
              <w:t xml:space="preserve">Sun Altitude, </w:t>
            </w:r>
            <w:r w:rsidR="000C5883" w:rsidRPr="00BF4DF5">
              <w:rPr>
                <w:color w:val="000000"/>
                <w:sz w:val="22"/>
                <w:szCs w:val="22"/>
              </w:rPr>
              <w:br/>
              <w:t>Winter</w:t>
            </w:r>
            <w:r w:rsidRPr="00BF4DF5">
              <w:rPr>
                <w:color w:val="000000"/>
                <w:sz w:val="22"/>
                <w:szCs w:val="22"/>
              </w:rPr>
              <w:t xml:space="preserve"> </w:t>
            </w:r>
          </w:p>
        </w:tc>
      </w:tr>
      <w:tr w:rsidR="003A6494" w14:paraId="6C22682C"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624B23E7" w14:textId="77777777" w:rsidR="003A6494" w:rsidRPr="00AE15A0" w:rsidRDefault="003A6494">
            <w:pPr>
              <w:jc w:val="center"/>
              <w:rPr>
                <w:color w:val="000000"/>
                <w:sz w:val="22"/>
                <w:szCs w:val="22"/>
              </w:rPr>
            </w:pPr>
            <w:r w:rsidRPr="00AE15A0">
              <w:rPr>
                <w:color w:val="000000"/>
                <w:sz w:val="22"/>
                <w:szCs w:val="22"/>
              </w:rPr>
              <w:t>50</w:t>
            </w:r>
          </w:p>
        </w:tc>
        <w:tc>
          <w:tcPr>
            <w:tcW w:w="2080" w:type="dxa"/>
            <w:tcBorders>
              <w:top w:val="nil"/>
              <w:left w:val="nil"/>
              <w:bottom w:val="nil"/>
              <w:right w:val="nil"/>
            </w:tcBorders>
            <w:shd w:val="clear" w:color="auto" w:fill="auto"/>
            <w:noWrap/>
            <w:vAlign w:val="bottom"/>
            <w:hideMark/>
          </w:tcPr>
          <w:p w14:paraId="77AD4562" w14:textId="590D4CF5" w:rsidR="003A6494" w:rsidRPr="00AE15A0" w:rsidRDefault="003F1A59">
            <w:pPr>
              <w:jc w:val="center"/>
              <w:rPr>
                <w:color w:val="000000"/>
                <w:sz w:val="22"/>
                <w:szCs w:val="22"/>
              </w:rPr>
            </w:pPr>
            <w:r>
              <w:rPr>
                <w:color w:val="000000"/>
                <w:sz w:val="22"/>
                <w:szCs w:val="22"/>
              </w:rPr>
              <w:t>63.4</w:t>
            </w:r>
          </w:p>
        </w:tc>
        <w:tc>
          <w:tcPr>
            <w:tcW w:w="2140" w:type="dxa"/>
            <w:tcBorders>
              <w:top w:val="nil"/>
              <w:left w:val="nil"/>
              <w:bottom w:val="nil"/>
              <w:right w:val="nil"/>
            </w:tcBorders>
            <w:shd w:val="clear" w:color="auto" w:fill="auto"/>
            <w:noWrap/>
            <w:vAlign w:val="bottom"/>
            <w:hideMark/>
          </w:tcPr>
          <w:p w14:paraId="4D4BB317" w14:textId="014F40DA" w:rsidR="003A6494" w:rsidRPr="00AE15A0" w:rsidRDefault="00BA08FB">
            <w:pPr>
              <w:jc w:val="center"/>
              <w:rPr>
                <w:color w:val="000000"/>
                <w:sz w:val="22"/>
                <w:szCs w:val="22"/>
              </w:rPr>
            </w:pPr>
            <w:r>
              <w:rPr>
                <w:color w:val="000000"/>
                <w:sz w:val="22"/>
                <w:szCs w:val="22"/>
              </w:rPr>
              <w:t>16.6</w:t>
            </w:r>
          </w:p>
        </w:tc>
      </w:tr>
      <w:tr w:rsidR="003A6494" w14:paraId="038E9B7E"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7F03529F" w14:textId="77777777" w:rsidR="003A6494" w:rsidRPr="00AE15A0" w:rsidRDefault="003A6494">
            <w:pPr>
              <w:jc w:val="center"/>
              <w:rPr>
                <w:color w:val="000000"/>
                <w:sz w:val="22"/>
                <w:szCs w:val="22"/>
              </w:rPr>
            </w:pPr>
            <w:r w:rsidRPr="00AE15A0">
              <w:rPr>
                <w:color w:val="000000"/>
                <w:sz w:val="22"/>
                <w:szCs w:val="22"/>
              </w:rPr>
              <w:t>40</w:t>
            </w:r>
          </w:p>
        </w:tc>
        <w:tc>
          <w:tcPr>
            <w:tcW w:w="2080" w:type="dxa"/>
            <w:tcBorders>
              <w:top w:val="nil"/>
              <w:left w:val="nil"/>
              <w:bottom w:val="nil"/>
              <w:right w:val="nil"/>
            </w:tcBorders>
            <w:shd w:val="clear" w:color="auto" w:fill="auto"/>
            <w:noWrap/>
            <w:vAlign w:val="bottom"/>
            <w:hideMark/>
          </w:tcPr>
          <w:p w14:paraId="3D859AAB" w14:textId="5E7D5A38" w:rsidR="003A6494" w:rsidRPr="00AE15A0" w:rsidRDefault="003F1A59">
            <w:pPr>
              <w:jc w:val="center"/>
              <w:rPr>
                <w:color w:val="000000"/>
                <w:sz w:val="22"/>
                <w:szCs w:val="22"/>
              </w:rPr>
            </w:pPr>
            <w:r>
              <w:rPr>
                <w:color w:val="000000"/>
                <w:sz w:val="22"/>
                <w:szCs w:val="22"/>
              </w:rPr>
              <w:t>73.4</w:t>
            </w:r>
          </w:p>
        </w:tc>
        <w:tc>
          <w:tcPr>
            <w:tcW w:w="2140" w:type="dxa"/>
            <w:tcBorders>
              <w:top w:val="nil"/>
              <w:left w:val="nil"/>
              <w:bottom w:val="nil"/>
              <w:right w:val="nil"/>
            </w:tcBorders>
            <w:shd w:val="clear" w:color="auto" w:fill="auto"/>
            <w:noWrap/>
            <w:vAlign w:val="bottom"/>
            <w:hideMark/>
          </w:tcPr>
          <w:p w14:paraId="498B642B" w14:textId="15645113" w:rsidR="003A6494" w:rsidRPr="00AE15A0" w:rsidRDefault="00BA08FB">
            <w:pPr>
              <w:jc w:val="center"/>
              <w:rPr>
                <w:color w:val="000000"/>
                <w:sz w:val="22"/>
                <w:szCs w:val="22"/>
              </w:rPr>
            </w:pPr>
            <w:r>
              <w:rPr>
                <w:color w:val="000000"/>
                <w:sz w:val="22"/>
                <w:szCs w:val="22"/>
              </w:rPr>
              <w:t>25.2</w:t>
            </w:r>
          </w:p>
        </w:tc>
      </w:tr>
      <w:tr w:rsidR="003A6494" w14:paraId="4460617A"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10EFEA66" w14:textId="77777777" w:rsidR="003A6494" w:rsidRPr="00AE15A0" w:rsidRDefault="003A6494">
            <w:pPr>
              <w:jc w:val="center"/>
              <w:rPr>
                <w:color w:val="000000"/>
                <w:sz w:val="22"/>
                <w:szCs w:val="22"/>
              </w:rPr>
            </w:pPr>
            <w:r w:rsidRPr="00AE15A0">
              <w:rPr>
                <w:color w:val="000000"/>
                <w:sz w:val="22"/>
                <w:szCs w:val="22"/>
              </w:rPr>
              <w:t>30</w:t>
            </w:r>
          </w:p>
        </w:tc>
        <w:tc>
          <w:tcPr>
            <w:tcW w:w="2080" w:type="dxa"/>
            <w:tcBorders>
              <w:top w:val="nil"/>
              <w:left w:val="nil"/>
              <w:bottom w:val="nil"/>
              <w:right w:val="nil"/>
            </w:tcBorders>
            <w:shd w:val="clear" w:color="auto" w:fill="auto"/>
            <w:noWrap/>
            <w:vAlign w:val="bottom"/>
            <w:hideMark/>
          </w:tcPr>
          <w:p w14:paraId="5EFFF251" w14:textId="49E0F8DD" w:rsidR="003A6494" w:rsidRPr="00AE15A0" w:rsidRDefault="002B3F4A">
            <w:pPr>
              <w:jc w:val="center"/>
              <w:rPr>
                <w:color w:val="000000"/>
                <w:sz w:val="22"/>
                <w:szCs w:val="22"/>
              </w:rPr>
            </w:pPr>
            <w:r>
              <w:rPr>
                <w:color w:val="000000"/>
                <w:sz w:val="22"/>
                <w:szCs w:val="22"/>
              </w:rPr>
              <w:t>83.4</w:t>
            </w:r>
          </w:p>
        </w:tc>
        <w:tc>
          <w:tcPr>
            <w:tcW w:w="2140" w:type="dxa"/>
            <w:tcBorders>
              <w:top w:val="nil"/>
              <w:left w:val="nil"/>
              <w:bottom w:val="nil"/>
              <w:right w:val="nil"/>
            </w:tcBorders>
            <w:shd w:val="clear" w:color="auto" w:fill="auto"/>
            <w:noWrap/>
            <w:vAlign w:val="bottom"/>
            <w:hideMark/>
          </w:tcPr>
          <w:p w14:paraId="1BFFEE29" w14:textId="19702815" w:rsidR="003A6494" w:rsidRPr="00AE15A0" w:rsidRDefault="00BA08FB">
            <w:pPr>
              <w:jc w:val="center"/>
              <w:rPr>
                <w:color w:val="000000"/>
                <w:sz w:val="22"/>
                <w:szCs w:val="22"/>
              </w:rPr>
            </w:pPr>
            <w:r>
              <w:rPr>
                <w:color w:val="000000"/>
                <w:sz w:val="22"/>
                <w:szCs w:val="22"/>
              </w:rPr>
              <w:t>34.8</w:t>
            </w:r>
          </w:p>
        </w:tc>
      </w:tr>
      <w:tr w:rsidR="003A6494" w14:paraId="30130A5A"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40886335" w14:textId="77777777" w:rsidR="003A6494" w:rsidRPr="00AE15A0" w:rsidRDefault="003A6494">
            <w:pPr>
              <w:jc w:val="center"/>
              <w:rPr>
                <w:color w:val="000000"/>
                <w:sz w:val="22"/>
                <w:szCs w:val="22"/>
              </w:rPr>
            </w:pPr>
            <w:r w:rsidRPr="00AE15A0">
              <w:rPr>
                <w:color w:val="000000"/>
                <w:sz w:val="22"/>
                <w:szCs w:val="22"/>
              </w:rPr>
              <w:t>20</w:t>
            </w:r>
          </w:p>
        </w:tc>
        <w:tc>
          <w:tcPr>
            <w:tcW w:w="2080" w:type="dxa"/>
            <w:tcBorders>
              <w:top w:val="nil"/>
              <w:left w:val="nil"/>
              <w:bottom w:val="nil"/>
              <w:right w:val="nil"/>
            </w:tcBorders>
            <w:shd w:val="clear" w:color="auto" w:fill="auto"/>
            <w:noWrap/>
            <w:vAlign w:val="bottom"/>
            <w:hideMark/>
          </w:tcPr>
          <w:p w14:paraId="4B52B295" w14:textId="66981464" w:rsidR="003A6494" w:rsidRPr="00AE15A0" w:rsidRDefault="002B3F4A">
            <w:pPr>
              <w:jc w:val="center"/>
              <w:rPr>
                <w:color w:val="000000"/>
                <w:sz w:val="22"/>
                <w:szCs w:val="22"/>
              </w:rPr>
            </w:pPr>
            <w:r>
              <w:rPr>
                <w:color w:val="000000"/>
                <w:sz w:val="22"/>
                <w:szCs w:val="22"/>
              </w:rPr>
              <w:t>86.5</w:t>
            </w:r>
          </w:p>
        </w:tc>
        <w:tc>
          <w:tcPr>
            <w:tcW w:w="2140" w:type="dxa"/>
            <w:tcBorders>
              <w:top w:val="nil"/>
              <w:left w:val="nil"/>
              <w:bottom w:val="nil"/>
              <w:right w:val="nil"/>
            </w:tcBorders>
            <w:shd w:val="clear" w:color="auto" w:fill="auto"/>
            <w:noWrap/>
            <w:vAlign w:val="bottom"/>
            <w:hideMark/>
          </w:tcPr>
          <w:p w14:paraId="3E99DF29" w14:textId="057064AD" w:rsidR="003A6494" w:rsidRPr="00AE15A0" w:rsidRDefault="003A6494">
            <w:pPr>
              <w:jc w:val="center"/>
              <w:rPr>
                <w:color w:val="000000"/>
                <w:sz w:val="22"/>
                <w:szCs w:val="22"/>
              </w:rPr>
            </w:pPr>
            <w:r w:rsidRPr="00AE15A0">
              <w:rPr>
                <w:color w:val="000000"/>
                <w:sz w:val="22"/>
                <w:szCs w:val="22"/>
              </w:rPr>
              <w:t>4</w:t>
            </w:r>
            <w:r w:rsidR="00392FDC">
              <w:rPr>
                <w:color w:val="000000"/>
                <w:sz w:val="22"/>
                <w:szCs w:val="22"/>
              </w:rPr>
              <w:t>6.6</w:t>
            </w:r>
          </w:p>
        </w:tc>
      </w:tr>
      <w:tr w:rsidR="003A6494" w14:paraId="354C1C9E"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6580EC18" w14:textId="77777777" w:rsidR="003A6494" w:rsidRPr="00AE15A0" w:rsidRDefault="003A6494">
            <w:pPr>
              <w:jc w:val="center"/>
              <w:rPr>
                <w:color w:val="000000"/>
                <w:sz w:val="22"/>
                <w:szCs w:val="22"/>
              </w:rPr>
            </w:pPr>
            <w:r w:rsidRPr="00AE15A0">
              <w:rPr>
                <w:color w:val="000000"/>
                <w:sz w:val="22"/>
                <w:szCs w:val="22"/>
              </w:rPr>
              <w:t>10</w:t>
            </w:r>
          </w:p>
        </w:tc>
        <w:tc>
          <w:tcPr>
            <w:tcW w:w="2080" w:type="dxa"/>
            <w:tcBorders>
              <w:top w:val="nil"/>
              <w:left w:val="nil"/>
              <w:bottom w:val="nil"/>
              <w:right w:val="nil"/>
            </w:tcBorders>
            <w:shd w:val="clear" w:color="auto" w:fill="auto"/>
            <w:noWrap/>
            <w:vAlign w:val="bottom"/>
            <w:hideMark/>
          </w:tcPr>
          <w:p w14:paraId="1DEE46E9" w14:textId="16D54F28" w:rsidR="003A6494" w:rsidRPr="00AE15A0" w:rsidRDefault="002B3F4A">
            <w:pPr>
              <w:jc w:val="center"/>
              <w:rPr>
                <w:color w:val="000000"/>
                <w:sz w:val="22"/>
                <w:szCs w:val="22"/>
              </w:rPr>
            </w:pPr>
            <w:r>
              <w:rPr>
                <w:color w:val="000000"/>
                <w:sz w:val="22"/>
                <w:szCs w:val="22"/>
              </w:rPr>
              <w:t>76.6</w:t>
            </w:r>
          </w:p>
        </w:tc>
        <w:tc>
          <w:tcPr>
            <w:tcW w:w="2140" w:type="dxa"/>
            <w:tcBorders>
              <w:top w:val="nil"/>
              <w:left w:val="nil"/>
              <w:bottom w:val="nil"/>
              <w:right w:val="nil"/>
            </w:tcBorders>
            <w:shd w:val="clear" w:color="auto" w:fill="auto"/>
            <w:noWrap/>
            <w:vAlign w:val="bottom"/>
            <w:hideMark/>
          </w:tcPr>
          <w:p w14:paraId="59232B97" w14:textId="4FC81188" w:rsidR="003A6494" w:rsidRPr="00AE15A0" w:rsidRDefault="003A6494">
            <w:pPr>
              <w:jc w:val="center"/>
              <w:rPr>
                <w:color w:val="000000"/>
                <w:sz w:val="22"/>
                <w:szCs w:val="22"/>
              </w:rPr>
            </w:pPr>
            <w:r w:rsidRPr="00AE15A0">
              <w:rPr>
                <w:color w:val="000000"/>
                <w:sz w:val="22"/>
                <w:szCs w:val="22"/>
              </w:rPr>
              <w:t>5</w:t>
            </w:r>
            <w:r w:rsidR="00392FDC">
              <w:rPr>
                <w:color w:val="000000"/>
                <w:sz w:val="22"/>
                <w:szCs w:val="22"/>
              </w:rPr>
              <w:t>6.6</w:t>
            </w:r>
          </w:p>
        </w:tc>
      </w:tr>
      <w:tr w:rsidR="003A6494" w14:paraId="038CB66A"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43F2AE4B" w14:textId="77777777" w:rsidR="003A6494" w:rsidRPr="00AE15A0" w:rsidRDefault="003A6494">
            <w:pPr>
              <w:jc w:val="center"/>
              <w:rPr>
                <w:color w:val="000000"/>
                <w:sz w:val="22"/>
                <w:szCs w:val="22"/>
              </w:rPr>
            </w:pPr>
            <w:r w:rsidRPr="00AE15A0">
              <w:rPr>
                <w:color w:val="000000"/>
                <w:sz w:val="22"/>
                <w:szCs w:val="22"/>
              </w:rPr>
              <w:t>0</w:t>
            </w:r>
          </w:p>
        </w:tc>
        <w:tc>
          <w:tcPr>
            <w:tcW w:w="2080" w:type="dxa"/>
            <w:tcBorders>
              <w:top w:val="nil"/>
              <w:left w:val="nil"/>
              <w:bottom w:val="nil"/>
              <w:right w:val="nil"/>
            </w:tcBorders>
            <w:shd w:val="clear" w:color="auto" w:fill="auto"/>
            <w:noWrap/>
            <w:vAlign w:val="bottom"/>
            <w:hideMark/>
          </w:tcPr>
          <w:p w14:paraId="5015455E" w14:textId="02F9B363" w:rsidR="003A6494" w:rsidRPr="00AE15A0" w:rsidRDefault="002B3F4A">
            <w:pPr>
              <w:jc w:val="center"/>
              <w:rPr>
                <w:color w:val="000000"/>
                <w:sz w:val="22"/>
                <w:szCs w:val="22"/>
              </w:rPr>
            </w:pPr>
            <w:r>
              <w:rPr>
                <w:color w:val="000000"/>
                <w:sz w:val="22"/>
                <w:szCs w:val="22"/>
              </w:rPr>
              <w:t>66.6</w:t>
            </w:r>
          </w:p>
        </w:tc>
        <w:tc>
          <w:tcPr>
            <w:tcW w:w="2140" w:type="dxa"/>
            <w:tcBorders>
              <w:top w:val="nil"/>
              <w:left w:val="nil"/>
              <w:bottom w:val="nil"/>
              <w:right w:val="nil"/>
            </w:tcBorders>
            <w:shd w:val="clear" w:color="auto" w:fill="auto"/>
            <w:noWrap/>
            <w:vAlign w:val="bottom"/>
            <w:hideMark/>
          </w:tcPr>
          <w:p w14:paraId="5B1303FC" w14:textId="3018DAEF" w:rsidR="003A6494" w:rsidRPr="00AE15A0" w:rsidRDefault="00392FDC">
            <w:pPr>
              <w:jc w:val="center"/>
              <w:rPr>
                <w:color w:val="000000"/>
                <w:sz w:val="22"/>
                <w:szCs w:val="22"/>
              </w:rPr>
            </w:pPr>
            <w:r>
              <w:rPr>
                <w:color w:val="000000"/>
                <w:sz w:val="22"/>
                <w:szCs w:val="22"/>
              </w:rPr>
              <w:t>66.6</w:t>
            </w:r>
          </w:p>
        </w:tc>
      </w:tr>
      <w:tr w:rsidR="003A6494" w14:paraId="5B9E1F7C"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483EA825" w14:textId="77777777" w:rsidR="003A6494" w:rsidRPr="00AE15A0" w:rsidRDefault="003A6494">
            <w:pPr>
              <w:jc w:val="center"/>
              <w:rPr>
                <w:color w:val="000000"/>
                <w:sz w:val="22"/>
                <w:szCs w:val="22"/>
              </w:rPr>
            </w:pPr>
            <w:r w:rsidRPr="00AE15A0">
              <w:rPr>
                <w:color w:val="000000"/>
                <w:sz w:val="22"/>
                <w:szCs w:val="22"/>
              </w:rPr>
              <w:t>-10</w:t>
            </w:r>
          </w:p>
        </w:tc>
        <w:tc>
          <w:tcPr>
            <w:tcW w:w="2080" w:type="dxa"/>
            <w:tcBorders>
              <w:top w:val="nil"/>
              <w:left w:val="nil"/>
              <w:bottom w:val="nil"/>
              <w:right w:val="nil"/>
            </w:tcBorders>
            <w:shd w:val="clear" w:color="auto" w:fill="auto"/>
            <w:noWrap/>
            <w:vAlign w:val="bottom"/>
            <w:hideMark/>
          </w:tcPr>
          <w:p w14:paraId="26C570A7" w14:textId="063E634F" w:rsidR="003A6494" w:rsidRPr="00AE15A0" w:rsidRDefault="002B3F4A">
            <w:pPr>
              <w:jc w:val="center"/>
              <w:rPr>
                <w:color w:val="000000"/>
                <w:sz w:val="22"/>
                <w:szCs w:val="22"/>
              </w:rPr>
            </w:pPr>
            <w:r>
              <w:rPr>
                <w:color w:val="000000"/>
                <w:sz w:val="22"/>
                <w:szCs w:val="22"/>
              </w:rPr>
              <w:t>56.6</w:t>
            </w:r>
          </w:p>
        </w:tc>
        <w:tc>
          <w:tcPr>
            <w:tcW w:w="2140" w:type="dxa"/>
            <w:tcBorders>
              <w:top w:val="nil"/>
              <w:left w:val="nil"/>
              <w:bottom w:val="nil"/>
              <w:right w:val="nil"/>
            </w:tcBorders>
            <w:shd w:val="clear" w:color="auto" w:fill="auto"/>
            <w:noWrap/>
            <w:vAlign w:val="bottom"/>
            <w:hideMark/>
          </w:tcPr>
          <w:p w14:paraId="7F7F8F01" w14:textId="020465C5" w:rsidR="003A6494" w:rsidRPr="00AE15A0" w:rsidRDefault="003F1A59">
            <w:pPr>
              <w:jc w:val="center"/>
              <w:rPr>
                <w:color w:val="000000"/>
                <w:sz w:val="22"/>
                <w:szCs w:val="22"/>
              </w:rPr>
            </w:pPr>
            <w:r>
              <w:rPr>
                <w:color w:val="000000"/>
                <w:sz w:val="22"/>
                <w:szCs w:val="22"/>
              </w:rPr>
              <w:t>76.6</w:t>
            </w:r>
          </w:p>
        </w:tc>
      </w:tr>
      <w:tr w:rsidR="003A6494" w14:paraId="2D8B9BB6"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5C2AB748" w14:textId="77777777" w:rsidR="003A6494" w:rsidRPr="00AE15A0" w:rsidRDefault="003A6494">
            <w:pPr>
              <w:jc w:val="center"/>
              <w:rPr>
                <w:color w:val="000000"/>
                <w:sz w:val="22"/>
                <w:szCs w:val="22"/>
              </w:rPr>
            </w:pPr>
            <w:r w:rsidRPr="00AE15A0">
              <w:rPr>
                <w:color w:val="000000"/>
                <w:sz w:val="22"/>
                <w:szCs w:val="22"/>
              </w:rPr>
              <w:t>-20</w:t>
            </w:r>
          </w:p>
        </w:tc>
        <w:tc>
          <w:tcPr>
            <w:tcW w:w="2080" w:type="dxa"/>
            <w:tcBorders>
              <w:top w:val="nil"/>
              <w:left w:val="nil"/>
              <w:bottom w:val="nil"/>
              <w:right w:val="nil"/>
            </w:tcBorders>
            <w:shd w:val="clear" w:color="auto" w:fill="auto"/>
            <w:noWrap/>
            <w:vAlign w:val="bottom"/>
            <w:hideMark/>
          </w:tcPr>
          <w:p w14:paraId="6DC619D3" w14:textId="111BF9A1" w:rsidR="003A6494" w:rsidRPr="00AE15A0" w:rsidRDefault="003A6494">
            <w:pPr>
              <w:jc w:val="center"/>
              <w:rPr>
                <w:color w:val="000000"/>
                <w:sz w:val="22"/>
                <w:szCs w:val="22"/>
              </w:rPr>
            </w:pPr>
            <w:r w:rsidRPr="00AE15A0">
              <w:rPr>
                <w:color w:val="000000"/>
                <w:sz w:val="22"/>
                <w:szCs w:val="22"/>
              </w:rPr>
              <w:t>46</w:t>
            </w:r>
            <w:r w:rsidR="002B3F4A">
              <w:rPr>
                <w:color w:val="000000"/>
                <w:sz w:val="22"/>
                <w:szCs w:val="22"/>
              </w:rPr>
              <w:t>.6</w:t>
            </w:r>
          </w:p>
        </w:tc>
        <w:tc>
          <w:tcPr>
            <w:tcW w:w="2140" w:type="dxa"/>
            <w:tcBorders>
              <w:top w:val="nil"/>
              <w:left w:val="nil"/>
              <w:bottom w:val="nil"/>
              <w:right w:val="nil"/>
            </w:tcBorders>
            <w:shd w:val="clear" w:color="auto" w:fill="auto"/>
            <w:noWrap/>
            <w:vAlign w:val="bottom"/>
            <w:hideMark/>
          </w:tcPr>
          <w:p w14:paraId="63D9973B" w14:textId="52F47809" w:rsidR="003A6494" w:rsidRPr="00AE15A0" w:rsidRDefault="003F1A59">
            <w:pPr>
              <w:jc w:val="center"/>
              <w:rPr>
                <w:color w:val="000000"/>
                <w:sz w:val="22"/>
                <w:szCs w:val="22"/>
              </w:rPr>
            </w:pPr>
            <w:r>
              <w:rPr>
                <w:color w:val="000000"/>
                <w:sz w:val="22"/>
                <w:szCs w:val="22"/>
              </w:rPr>
              <w:t>86.5</w:t>
            </w:r>
          </w:p>
        </w:tc>
      </w:tr>
      <w:tr w:rsidR="003A6494" w14:paraId="05DF4BDD"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5FE15075" w14:textId="77777777" w:rsidR="003A6494" w:rsidRPr="00AE15A0" w:rsidRDefault="003A6494">
            <w:pPr>
              <w:jc w:val="center"/>
              <w:rPr>
                <w:color w:val="000000"/>
                <w:sz w:val="22"/>
                <w:szCs w:val="22"/>
              </w:rPr>
            </w:pPr>
            <w:r w:rsidRPr="00AE15A0">
              <w:rPr>
                <w:color w:val="000000"/>
                <w:sz w:val="22"/>
                <w:szCs w:val="22"/>
              </w:rPr>
              <w:t>-30</w:t>
            </w:r>
          </w:p>
        </w:tc>
        <w:tc>
          <w:tcPr>
            <w:tcW w:w="2080" w:type="dxa"/>
            <w:tcBorders>
              <w:top w:val="nil"/>
              <w:left w:val="nil"/>
              <w:bottom w:val="nil"/>
              <w:right w:val="nil"/>
            </w:tcBorders>
            <w:shd w:val="clear" w:color="auto" w:fill="auto"/>
            <w:noWrap/>
            <w:vAlign w:val="bottom"/>
            <w:hideMark/>
          </w:tcPr>
          <w:p w14:paraId="61D8934F" w14:textId="0D6622BB" w:rsidR="003A6494" w:rsidRPr="00AE15A0" w:rsidRDefault="003A6494">
            <w:pPr>
              <w:jc w:val="center"/>
              <w:rPr>
                <w:color w:val="000000"/>
                <w:sz w:val="22"/>
                <w:szCs w:val="22"/>
              </w:rPr>
            </w:pPr>
            <w:r w:rsidRPr="00AE15A0">
              <w:rPr>
                <w:color w:val="000000"/>
                <w:sz w:val="22"/>
                <w:szCs w:val="22"/>
              </w:rPr>
              <w:t>3</w:t>
            </w:r>
            <w:r w:rsidR="00F015CB">
              <w:rPr>
                <w:color w:val="000000"/>
                <w:sz w:val="22"/>
                <w:szCs w:val="22"/>
              </w:rPr>
              <w:t>4.8</w:t>
            </w:r>
          </w:p>
        </w:tc>
        <w:tc>
          <w:tcPr>
            <w:tcW w:w="2140" w:type="dxa"/>
            <w:tcBorders>
              <w:top w:val="nil"/>
              <w:left w:val="nil"/>
              <w:bottom w:val="nil"/>
              <w:right w:val="nil"/>
            </w:tcBorders>
            <w:shd w:val="clear" w:color="auto" w:fill="auto"/>
            <w:noWrap/>
            <w:vAlign w:val="bottom"/>
            <w:hideMark/>
          </w:tcPr>
          <w:p w14:paraId="4C9832BD" w14:textId="5DCD3ABF" w:rsidR="003A6494" w:rsidRPr="00AE15A0" w:rsidRDefault="003F1A59">
            <w:pPr>
              <w:jc w:val="center"/>
              <w:rPr>
                <w:color w:val="000000"/>
                <w:sz w:val="22"/>
                <w:szCs w:val="22"/>
              </w:rPr>
            </w:pPr>
            <w:r>
              <w:rPr>
                <w:color w:val="000000"/>
                <w:sz w:val="22"/>
                <w:szCs w:val="22"/>
              </w:rPr>
              <w:t>83.4</w:t>
            </w:r>
          </w:p>
        </w:tc>
      </w:tr>
      <w:tr w:rsidR="003A6494" w14:paraId="2A3FF6CD" w14:textId="77777777" w:rsidTr="003B41D9">
        <w:trPr>
          <w:trHeight w:val="300"/>
          <w:jc w:val="center"/>
        </w:trPr>
        <w:tc>
          <w:tcPr>
            <w:tcW w:w="1720" w:type="dxa"/>
            <w:tcBorders>
              <w:top w:val="nil"/>
              <w:left w:val="nil"/>
              <w:bottom w:val="nil"/>
              <w:right w:val="nil"/>
            </w:tcBorders>
            <w:shd w:val="clear" w:color="auto" w:fill="auto"/>
            <w:noWrap/>
            <w:vAlign w:val="bottom"/>
            <w:hideMark/>
          </w:tcPr>
          <w:p w14:paraId="626E1089" w14:textId="77777777" w:rsidR="003A6494" w:rsidRPr="00AE15A0" w:rsidRDefault="003A6494">
            <w:pPr>
              <w:jc w:val="center"/>
              <w:rPr>
                <w:color w:val="000000"/>
                <w:sz w:val="22"/>
                <w:szCs w:val="22"/>
              </w:rPr>
            </w:pPr>
            <w:r w:rsidRPr="00AE15A0">
              <w:rPr>
                <w:color w:val="000000"/>
                <w:sz w:val="22"/>
                <w:szCs w:val="22"/>
              </w:rPr>
              <w:t>-40</w:t>
            </w:r>
          </w:p>
        </w:tc>
        <w:tc>
          <w:tcPr>
            <w:tcW w:w="2080" w:type="dxa"/>
            <w:tcBorders>
              <w:top w:val="nil"/>
              <w:left w:val="nil"/>
              <w:bottom w:val="nil"/>
              <w:right w:val="nil"/>
            </w:tcBorders>
            <w:shd w:val="clear" w:color="auto" w:fill="auto"/>
            <w:noWrap/>
            <w:vAlign w:val="bottom"/>
            <w:hideMark/>
          </w:tcPr>
          <w:p w14:paraId="337D3AE7" w14:textId="0DEBEBCD" w:rsidR="003A6494" w:rsidRPr="00AE15A0" w:rsidRDefault="003A6494">
            <w:pPr>
              <w:jc w:val="center"/>
              <w:rPr>
                <w:color w:val="000000"/>
                <w:sz w:val="22"/>
                <w:szCs w:val="22"/>
              </w:rPr>
            </w:pPr>
            <w:r w:rsidRPr="00AE15A0">
              <w:rPr>
                <w:color w:val="000000"/>
                <w:sz w:val="22"/>
                <w:szCs w:val="22"/>
              </w:rPr>
              <w:t>2</w:t>
            </w:r>
            <w:r w:rsidR="00F015CB">
              <w:rPr>
                <w:color w:val="000000"/>
                <w:sz w:val="22"/>
                <w:szCs w:val="22"/>
              </w:rPr>
              <w:t>5.2</w:t>
            </w:r>
          </w:p>
        </w:tc>
        <w:tc>
          <w:tcPr>
            <w:tcW w:w="2140" w:type="dxa"/>
            <w:tcBorders>
              <w:top w:val="nil"/>
              <w:left w:val="nil"/>
              <w:bottom w:val="nil"/>
              <w:right w:val="nil"/>
            </w:tcBorders>
            <w:shd w:val="clear" w:color="auto" w:fill="auto"/>
            <w:noWrap/>
            <w:vAlign w:val="bottom"/>
            <w:hideMark/>
          </w:tcPr>
          <w:p w14:paraId="66496F4E" w14:textId="027A063D" w:rsidR="003A6494" w:rsidRPr="00AE15A0" w:rsidRDefault="003F1A59">
            <w:pPr>
              <w:jc w:val="center"/>
              <w:rPr>
                <w:color w:val="000000"/>
                <w:sz w:val="22"/>
                <w:szCs w:val="22"/>
              </w:rPr>
            </w:pPr>
            <w:r>
              <w:rPr>
                <w:color w:val="000000"/>
                <w:sz w:val="22"/>
                <w:szCs w:val="22"/>
              </w:rPr>
              <w:t>73.4</w:t>
            </w:r>
          </w:p>
        </w:tc>
      </w:tr>
      <w:tr w:rsidR="003A6494" w14:paraId="1F779381" w14:textId="77777777" w:rsidTr="003B41D9">
        <w:trPr>
          <w:trHeight w:val="80"/>
          <w:jc w:val="center"/>
        </w:trPr>
        <w:tc>
          <w:tcPr>
            <w:tcW w:w="1720" w:type="dxa"/>
            <w:tcBorders>
              <w:top w:val="nil"/>
              <w:left w:val="nil"/>
              <w:bottom w:val="nil"/>
              <w:right w:val="nil"/>
            </w:tcBorders>
            <w:shd w:val="clear" w:color="auto" w:fill="auto"/>
            <w:noWrap/>
            <w:vAlign w:val="bottom"/>
            <w:hideMark/>
          </w:tcPr>
          <w:p w14:paraId="72EBECCA" w14:textId="77777777" w:rsidR="003A6494" w:rsidRPr="00AE15A0" w:rsidRDefault="003A6494">
            <w:pPr>
              <w:jc w:val="center"/>
              <w:rPr>
                <w:color w:val="000000"/>
                <w:sz w:val="22"/>
                <w:szCs w:val="22"/>
              </w:rPr>
            </w:pPr>
            <w:r w:rsidRPr="00AE15A0">
              <w:rPr>
                <w:color w:val="000000"/>
                <w:sz w:val="22"/>
                <w:szCs w:val="22"/>
              </w:rPr>
              <w:t>-50</w:t>
            </w:r>
          </w:p>
        </w:tc>
        <w:tc>
          <w:tcPr>
            <w:tcW w:w="2080" w:type="dxa"/>
            <w:tcBorders>
              <w:top w:val="nil"/>
              <w:left w:val="nil"/>
              <w:bottom w:val="nil"/>
              <w:right w:val="nil"/>
            </w:tcBorders>
            <w:shd w:val="clear" w:color="auto" w:fill="auto"/>
            <w:noWrap/>
            <w:vAlign w:val="bottom"/>
            <w:hideMark/>
          </w:tcPr>
          <w:p w14:paraId="5FE7E4D0" w14:textId="78BC1D3B" w:rsidR="003A6494" w:rsidRPr="00AE15A0" w:rsidRDefault="003A6494">
            <w:pPr>
              <w:jc w:val="center"/>
              <w:rPr>
                <w:color w:val="000000"/>
                <w:sz w:val="22"/>
                <w:szCs w:val="22"/>
              </w:rPr>
            </w:pPr>
            <w:r w:rsidRPr="00AE15A0">
              <w:rPr>
                <w:color w:val="000000"/>
                <w:sz w:val="22"/>
                <w:szCs w:val="22"/>
              </w:rPr>
              <w:t>1</w:t>
            </w:r>
            <w:r w:rsidR="00F015CB">
              <w:rPr>
                <w:color w:val="000000"/>
                <w:sz w:val="22"/>
                <w:szCs w:val="22"/>
              </w:rPr>
              <w:t>6.6</w:t>
            </w:r>
          </w:p>
        </w:tc>
        <w:tc>
          <w:tcPr>
            <w:tcW w:w="2140" w:type="dxa"/>
            <w:tcBorders>
              <w:top w:val="nil"/>
              <w:left w:val="nil"/>
              <w:bottom w:val="nil"/>
              <w:right w:val="nil"/>
            </w:tcBorders>
            <w:shd w:val="clear" w:color="auto" w:fill="auto"/>
            <w:noWrap/>
            <w:vAlign w:val="bottom"/>
            <w:hideMark/>
          </w:tcPr>
          <w:p w14:paraId="5E41DAE6" w14:textId="49CF193B" w:rsidR="003A6494" w:rsidRPr="00AE15A0" w:rsidRDefault="003F1A59">
            <w:pPr>
              <w:jc w:val="center"/>
              <w:rPr>
                <w:color w:val="000000"/>
                <w:sz w:val="22"/>
                <w:szCs w:val="22"/>
              </w:rPr>
            </w:pPr>
            <w:r>
              <w:rPr>
                <w:color w:val="000000"/>
                <w:sz w:val="22"/>
                <w:szCs w:val="22"/>
              </w:rPr>
              <w:t>63.4</w:t>
            </w:r>
          </w:p>
        </w:tc>
      </w:tr>
    </w:tbl>
    <w:p w14:paraId="39341E51" w14:textId="77777777" w:rsidR="005559C6" w:rsidRDefault="005559C6" w:rsidP="003F4ECA"/>
    <w:p w14:paraId="77B0CC3C" w14:textId="22BFB46D" w:rsidR="005B754C" w:rsidRPr="002F0487" w:rsidRDefault="002F0487" w:rsidP="003F4ECA">
      <w:pPr>
        <w:rPr>
          <w:b/>
          <w:bCs/>
        </w:rPr>
      </w:pPr>
      <w:r w:rsidRPr="002F0487">
        <w:rPr>
          <w:b/>
          <w:bCs/>
        </w:rPr>
        <w:t>Experimental Apparatus</w:t>
      </w:r>
    </w:p>
    <w:p w14:paraId="2587B61D" w14:textId="2294DAB2" w:rsidR="00A16D69" w:rsidRDefault="007739AB" w:rsidP="003F4ECA">
      <w:r w:rsidRPr="003721AA">
        <w:t xml:space="preserve">The previous experiment, </w:t>
      </w:r>
      <w:r w:rsidR="00F871B9" w:rsidRPr="003721AA">
        <w:t xml:space="preserve">as </w:t>
      </w:r>
      <w:r w:rsidRPr="003721AA">
        <w:t>described in TR-27</w:t>
      </w:r>
      <w:r w:rsidR="007C4CEF">
        <w:t>a</w:t>
      </w:r>
      <w:r w:rsidRPr="003721AA">
        <w:t>, was of a Haines model 1 solar cooker that was turned on its side and rotated horizontally.  This was merely a convenient means of measuring this smaller cooker.  For the Haines model 2</w:t>
      </w:r>
      <w:r w:rsidR="007C4CEF">
        <w:t xml:space="preserve"> [</w:t>
      </w:r>
      <w:r w:rsidR="005B5E3A">
        <w:t>4</w:t>
      </w:r>
      <w:r w:rsidR="007C4CEF">
        <w:t>]</w:t>
      </w:r>
      <w:r w:rsidRPr="003721AA">
        <w:t xml:space="preserve">, </w:t>
      </w:r>
      <w:r w:rsidR="00F871B9" w:rsidRPr="003721AA">
        <w:t xml:space="preserve">measurements were conducted in the (normal) vertical direction using a tilt table with a calibrated molding strip used for vertical angle measurements.  </w:t>
      </w:r>
      <w:r w:rsidR="002F0487">
        <w:t xml:space="preserve"> </w:t>
      </w:r>
    </w:p>
    <w:p w14:paraId="1B7C4703" w14:textId="77777777" w:rsidR="002F0487" w:rsidRDefault="002F0487" w:rsidP="003F4ECA"/>
    <w:p w14:paraId="033FC880" w14:textId="1DECD471" w:rsidR="006E51BD" w:rsidRDefault="002F0487" w:rsidP="003F4ECA">
      <w:r>
        <w:t xml:space="preserve">These are “reciprocity” </w:t>
      </w:r>
      <w:r w:rsidR="0017352C">
        <w:t>experiments</w:t>
      </w:r>
      <w:r>
        <w:t xml:space="preserve"> in which the position of the cooking pot is replaced by a light source, and the brightness of the light source is measured at a long distance</w:t>
      </w:r>
      <w:r w:rsidR="004B43A8">
        <w:t xml:space="preserve">.  Thus, the optical lines of sight are the same as that of normal use with the </w:t>
      </w:r>
      <w:r w:rsidR="00017A80">
        <w:t>Sun but</w:t>
      </w:r>
      <w:r w:rsidR="004B43A8">
        <w:t xml:space="preserve"> reversed in direction.  To achieve this, a 250-Watt incandescent light bulb was set at a position representing the center of the cooking pot (see Figure 1).  </w:t>
      </w:r>
    </w:p>
    <w:p w14:paraId="0BEC18E1" w14:textId="77777777" w:rsidR="006E51BD" w:rsidRDefault="006E51BD" w:rsidP="003F4ECA"/>
    <w:p w14:paraId="712723EF" w14:textId="77777777" w:rsidR="006E51BD" w:rsidRDefault="006E51BD" w:rsidP="003F4ECA"/>
    <w:p w14:paraId="026DB49E" w14:textId="4A27989A" w:rsidR="006E51BD" w:rsidRDefault="006E51BD" w:rsidP="006E51BD">
      <w:pPr>
        <w:jc w:val="center"/>
      </w:pPr>
      <w:r>
        <w:rPr>
          <w:noProof/>
        </w:rPr>
        <w:drawing>
          <wp:inline distT="0" distB="0" distL="0" distR="0" wp14:anchorId="0A721370" wp14:editId="5F5EB087">
            <wp:extent cx="3638550" cy="1623450"/>
            <wp:effectExtent l="0" t="0" r="0" b="0"/>
            <wp:docPr id="788875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3033" cy="1634374"/>
                    </a:xfrm>
                    <a:prstGeom prst="rect">
                      <a:avLst/>
                    </a:prstGeom>
                    <a:noFill/>
                    <a:ln>
                      <a:noFill/>
                    </a:ln>
                  </pic:spPr>
                </pic:pic>
              </a:graphicData>
            </a:graphic>
          </wp:inline>
        </w:drawing>
      </w:r>
      <w:r>
        <w:br/>
        <w:t xml:space="preserve">Figure 1.  Haines 2 cooking pot alongside 250W light </w:t>
      </w:r>
      <w:proofErr w:type="gramStart"/>
      <w:r>
        <w:t>bulb</w:t>
      </w:r>
      <w:proofErr w:type="gramEnd"/>
      <w:r>
        <w:t>.</w:t>
      </w:r>
    </w:p>
    <w:p w14:paraId="0D5B71B2" w14:textId="77777777" w:rsidR="006E51BD" w:rsidRDefault="006E51BD" w:rsidP="003F4ECA"/>
    <w:p w14:paraId="0FC90FAD" w14:textId="30637D1C" w:rsidR="008C2CF2" w:rsidRDefault="008C2CF2" w:rsidP="003F4ECA">
      <w:r>
        <w:t>The light bulb was covered with a white diffuse sp</w:t>
      </w:r>
      <w:r w:rsidR="000F52FA">
        <w:t>h</w:t>
      </w:r>
      <w:r>
        <w:t>erical globe with a diameter of 2</w:t>
      </w:r>
      <w:r w:rsidR="002A352C">
        <w:t>8</w:t>
      </w:r>
      <w:r>
        <w:t xml:space="preserve"> cm</w:t>
      </w:r>
      <w:r w:rsidR="006801A9">
        <w:t>, which is approximately the size of the cooking pot used in this cooker</w:t>
      </w:r>
      <w:r w:rsidR="000F52FA">
        <w:t xml:space="preserve"> (Newport Coastal </w:t>
      </w:r>
      <w:r w:rsidR="000F52FA">
        <w:lastRenderedPageBreak/>
        <w:t>7791-12W)</w:t>
      </w:r>
      <w:r w:rsidR="006801A9">
        <w:t xml:space="preserve">.  The globe was held in place by a thin mesh net, which did not appreciably affect the brightness of the light.  </w:t>
      </w:r>
    </w:p>
    <w:p w14:paraId="38ABF604" w14:textId="77777777" w:rsidR="008C2CF2" w:rsidRDefault="008C2CF2" w:rsidP="003F4ECA"/>
    <w:p w14:paraId="332CBB16" w14:textId="15CCD7A4" w:rsidR="002F0487" w:rsidRDefault="00DD3CD4" w:rsidP="003F4ECA">
      <w:r>
        <w:t>A</w:t>
      </w:r>
      <w:r w:rsidR="0017352C">
        <w:t xml:space="preserve"> light meter </w:t>
      </w:r>
      <w:r>
        <w:t xml:space="preserve">(LX1330B lux meter) </w:t>
      </w:r>
      <w:r w:rsidR="0017352C">
        <w:t xml:space="preserve">was placed at </w:t>
      </w:r>
      <w:proofErr w:type="gramStart"/>
      <w:r w:rsidR="0017352C">
        <w:t>a distance of 10</w:t>
      </w:r>
      <w:proofErr w:type="gramEnd"/>
      <w:r w:rsidR="0017352C">
        <w:t xml:space="preserve"> meters and the measurements were made at night with all nearby lights off</w:t>
      </w:r>
      <w:r w:rsidR="008C2CF2">
        <w:t xml:space="preserve"> except for the device under test.  The light meter was placed on a tripod and set to measure values in lux</w:t>
      </w:r>
      <w:r w:rsidR="001B69AD">
        <w:t>.</w:t>
      </w:r>
      <w:r w:rsidR="008C2CF2">
        <w:t xml:space="preserve">  </w:t>
      </w:r>
      <w:r w:rsidR="001B69AD">
        <w:t>(</w:t>
      </w:r>
      <w:r w:rsidR="00BA2EC6">
        <w:t>For these measurements we assum</w:t>
      </w:r>
      <w:r w:rsidR="005B74E7">
        <w:t>e</w:t>
      </w:r>
      <w:r w:rsidR="00BA2EC6">
        <w:t xml:space="preserve"> that the light meter is linear</w:t>
      </w:r>
      <w:r w:rsidR="001B69AD">
        <w:t>)</w:t>
      </w:r>
      <w:r w:rsidR="00BA2EC6">
        <w:t xml:space="preserve">.  </w:t>
      </w:r>
    </w:p>
    <w:p w14:paraId="4741B4AF" w14:textId="77777777" w:rsidR="006801A9" w:rsidRDefault="006801A9" w:rsidP="003F4ECA"/>
    <w:p w14:paraId="273BD2A3" w14:textId="29DE1091" w:rsidR="006E51BD" w:rsidRDefault="006801A9" w:rsidP="003F4ECA">
      <w:r>
        <w:t xml:space="preserve">Figure 2 shows the setup with the Haines 2 reflector on the tilt table.  A </w:t>
      </w:r>
      <w:r w:rsidR="008C44D2">
        <w:t xml:space="preserve">hinged </w:t>
      </w:r>
      <w:r w:rsidR="005B74E7">
        <w:t xml:space="preserve">white </w:t>
      </w:r>
      <w:r w:rsidR="00644D79">
        <w:t xml:space="preserve">molding strip is visible in the back; this provided </w:t>
      </w:r>
      <w:r w:rsidR="008C44D2">
        <w:t xml:space="preserve">calibrated </w:t>
      </w:r>
      <w:r w:rsidR="00644D79">
        <w:t xml:space="preserve">values of tilt angle every 5 degrees from 0 to 90.  </w:t>
      </w:r>
    </w:p>
    <w:p w14:paraId="20C1D5D6" w14:textId="77777777" w:rsidR="006E51BD" w:rsidRDefault="006E51BD" w:rsidP="003F4ECA"/>
    <w:p w14:paraId="60329F8B" w14:textId="51EBC501" w:rsidR="006E51BD" w:rsidRDefault="006E51BD" w:rsidP="00163B87">
      <w:pPr>
        <w:jc w:val="center"/>
      </w:pPr>
      <w:r>
        <w:rPr>
          <w:noProof/>
        </w:rPr>
        <w:drawing>
          <wp:inline distT="0" distB="0" distL="0" distR="0" wp14:anchorId="34F52D11" wp14:editId="424309B8">
            <wp:extent cx="3811181" cy="4010025"/>
            <wp:effectExtent l="0" t="0" r="0" b="0"/>
            <wp:docPr id="3283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7214" cy="4016373"/>
                    </a:xfrm>
                    <a:prstGeom prst="rect">
                      <a:avLst/>
                    </a:prstGeom>
                    <a:noFill/>
                    <a:ln>
                      <a:noFill/>
                    </a:ln>
                  </pic:spPr>
                </pic:pic>
              </a:graphicData>
            </a:graphic>
          </wp:inline>
        </w:drawing>
      </w:r>
    </w:p>
    <w:p w14:paraId="3D7885BD" w14:textId="055408BD" w:rsidR="006E51BD" w:rsidRDefault="006E51BD" w:rsidP="00163B87">
      <w:pPr>
        <w:jc w:val="center"/>
      </w:pPr>
      <w:r>
        <w:t xml:space="preserve">Figure 2.  </w:t>
      </w:r>
      <w:r w:rsidR="00163B87">
        <w:t>Apparatus as arranged on tilt table.  Note angle scale in back.</w:t>
      </w:r>
    </w:p>
    <w:p w14:paraId="19EBDEB9" w14:textId="6D43C36A" w:rsidR="00163B87" w:rsidRDefault="00163B87" w:rsidP="00163B87">
      <w:pPr>
        <w:jc w:val="center"/>
      </w:pPr>
      <w:r>
        <w:rPr>
          <w:noProof/>
        </w:rPr>
        <w:lastRenderedPageBreak/>
        <w:drawing>
          <wp:inline distT="0" distB="0" distL="0" distR="0" wp14:anchorId="73AD9DFC" wp14:editId="7540BAD5">
            <wp:extent cx="3558063" cy="2667000"/>
            <wp:effectExtent l="0" t="0" r="4445" b="0"/>
            <wp:docPr id="1514563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3068" cy="2670752"/>
                    </a:xfrm>
                    <a:prstGeom prst="rect">
                      <a:avLst/>
                    </a:prstGeom>
                    <a:noFill/>
                    <a:ln>
                      <a:noFill/>
                    </a:ln>
                  </pic:spPr>
                </pic:pic>
              </a:graphicData>
            </a:graphic>
          </wp:inline>
        </w:drawing>
      </w:r>
    </w:p>
    <w:p w14:paraId="7DD825AA" w14:textId="4A91308D" w:rsidR="0082184C" w:rsidRDefault="0082184C" w:rsidP="00163B87">
      <w:pPr>
        <w:jc w:val="center"/>
      </w:pPr>
      <w:r>
        <w:t xml:space="preserve">Figure 3. </w:t>
      </w:r>
    </w:p>
    <w:p w14:paraId="024B13E1" w14:textId="77777777" w:rsidR="006E51BD" w:rsidRDefault="006E51BD" w:rsidP="003F4ECA"/>
    <w:p w14:paraId="05EE4B6F" w14:textId="1AC2C0B9" w:rsidR="006801A9" w:rsidRDefault="00644D79" w:rsidP="003F4ECA">
      <w:r>
        <w:t xml:space="preserve">Figure 3 </w:t>
      </w:r>
      <w:r w:rsidR="00163B87">
        <w:t xml:space="preserve">above </w:t>
      </w:r>
      <w:r>
        <w:t>shows this setup from the rear</w:t>
      </w:r>
      <w:r w:rsidR="00163B87">
        <w:t>, with the angle scale sticking up</w:t>
      </w:r>
      <w:r w:rsidR="008C44D2">
        <w:t xml:space="preserve"> through a hole in the tilt table</w:t>
      </w:r>
      <w:r>
        <w:t xml:space="preserve">.  The block on the tilt table was </w:t>
      </w:r>
      <w:proofErr w:type="gramStart"/>
      <w:r>
        <w:t>a counterweight</w:t>
      </w:r>
      <w:proofErr w:type="gramEnd"/>
      <w:r>
        <w:t xml:space="preserve">.  </w:t>
      </w:r>
    </w:p>
    <w:p w14:paraId="415D9F46" w14:textId="77777777" w:rsidR="00163B87" w:rsidRDefault="00163B87" w:rsidP="003F4ECA"/>
    <w:p w14:paraId="0A8F4158" w14:textId="5AB8E4F9" w:rsidR="00644D79" w:rsidRDefault="00163B87" w:rsidP="0082184C">
      <w:pPr>
        <w:jc w:val="center"/>
      </w:pPr>
      <w:r>
        <w:rPr>
          <w:noProof/>
        </w:rPr>
        <w:drawing>
          <wp:inline distT="0" distB="0" distL="0" distR="0" wp14:anchorId="06CC799E" wp14:editId="13F33B90">
            <wp:extent cx="3130879" cy="3038475"/>
            <wp:effectExtent l="0" t="0" r="0" b="0"/>
            <wp:docPr id="2109339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4151" cy="3041651"/>
                    </a:xfrm>
                    <a:prstGeom prst="rect">
                      <a:avLst/>
                    </a:prstGeom>
                    <a:noFill/>
                    <a:ln>
                      <a:noFill/>
                    </a:ln>
                  </pic:spPr>
                </pic:pic>
              </a:graphicData>
            </a:graphic>
          </wp:inline>
        </w:drawing>
      </w:r>
    </w:p>
    <w:p w14:paraId="30530CAA" w14:textId="00B279CB" w:rsidR="0082184C" w:rsidRDefault="0082184C" w:rsidP="0082184C">
      <w:pPr>
        <w:jc w:val="center"/>
      </w:pPr>
      <w:r>
        <w:t>Figure 4.</w:t>
      </w:r>
    </w:p>
    <w:p w14:paraId="75F52A35" w14:textId="77777777" w:rsidR="0082184C" w:rsidRDefault="0082184C" w:rsidP="0082184C">
      <w:pPr>
        <w:jc w:val="center"/>
      </w:pPr>
    </w:p>
    <w:p w14:paraId="3E5BDFA7" w14:textId="0235080A" w:rsidR="00163B87" w:rsidRDefault="00644D79" w:rsidP="0082184C">
      <w:r>
        <w:t>Figure 4</w:t>
      </w:r>
      <w:r w:rsidR="00163B87">
        <w:t xml:space="preserve"> above</w:t>
      </w:r>
      <w:r>
        <w:t xml:space="preserve"> shows the appearance of the light globe in the cooler reflector at a tilt angle of about 40 degrees.</w:t>
      </w:r>
    </w:p>
    <w:p w14:paraId="3EABE925" w14:textId="77777777" w:rsidR="00163B87" w:rsidRDefault="00163B87" w:rsidP="003F4ECA"/>
    <w:p w14:paraId="225602BF" w14:textId="77777777" w:rsidR="00163B87" w:rsidRDefault="00163B87" w:rsidP="003F4ECA"/>
    <w:p w14:paraId="67A41855" w14:textId="4B8E7650" w:rsidR="0082184C" w:rsidRDefault="00163B87" w:rsidP="0082184C">
      <w:pPr>
        <w:jc w:val="center"/>
      </w:pPr>
      <w:r>
        <w:rPr>
          <w:noProof/>
        </w:rPr>
        <w:lastRenderedPageBreak/>
        <w:drawing>
          <wp:inline distT="0" distB="0" distL="0" distR="0" wp14:anchorId="2D3E0369" wp14:editId="5A90C427">
            <wp:extent cx="3575069" cy="4171950"/>
            <wp:effectExtent l="0" t="0" r="6350" b="0"/>
            <wp:docPr id="19413466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4346" cy="4182776"/>
                    </a:xfrm>
                    <a:prstGeom prst="rect">
                      <a:avLst/>
                    </a:prstGeom>
                    <a:noFill/>
                    <a:ln>
                      <a:noFill/>
                    </a:ln>
                  </pic:spPr>
                </pic:pic>
              </a:graphicData>
            </a:graphic>
          </wp:inline>
        </w:drawing>
      </w:r>
      <w:r w:rsidR="0082184C">
        <w:br/>
        <w:t xml:space="preserve">Figure 5. </w:t>
      </w:r>
      <w:r>
        <w:br/>
      </w:r>
    </w:p>
    <w:p w14:paraId="6ECE9011" w14:textId="07EF446C" w:rsidR="006E51BD" w:rsidRDefault="005550C8" w:rsidP="003F4ECA">
      <w:r>
        <w:t xml:space="preserve">Figure 5 shows the appearance as seen at night, with only the light from the globe illuminated.  </w:t>
      </w:r>
      <w:r w:rsidR="00EA3847">
        <w:t xml:space="preserve">Photos like these reveal regions on the reflector that are not illuminated by the light source, that is, places where the panel is not aimed at the optimum angle.    </w:t>
      </w:r>
      <w:r w:rsidR="00A11A88">
        <w:t>Also, the globe itself appeared to have non-uniform directionality of light</w:t>
      </w:r>
      <w:r w:rsidR="00415F5A">
        <w:t>.  T</w:t>
      </w:r>
      <w:r w:rsidR="00A11A88">
        <w:t>his source was measured separately</w:t>
      </w:r>
      <w:r w:rsidR="00415F5A">
        <w:t xml:space="preserve"> so that its own directionality could be subtracted</w:t>
      </w:r>
      <w:r w:rsidR="00A11A88">
        <w:t xml:space="preserve">.  </w:t>
      </w:r>
    </w:p>
    <w:p w14:paraId="2E4D6F78" w14:textId="77777777" w:rsidR="006E51BD" w:rsidRDefault="006E51BD" w:rsidP="003F4ECA"/>
    <w:p w14:paraId="5BD9C818" w14:textId="1CDDF495" w:rsidR="006E51BD" w:rsidRDefault="0082184C" w:rsidP="0082184C">
      <w:pPr>
        <w:jc w:val="center"/>
      </w:pPr>
      <w:r>
        <w:rPr>
          <w:noProof/>
        </w:rPr>
        <w:drawing>
          <wp:inline distT="0" distB="0" distL="0" distR="0" wp14:anchorId="7C3C78C2" wp14:editId="0543C543">
            <wp:extent cx="3019425" cy="2168735"/>
            <wp:effectExtent l="0" t="0" r="0" b="3175"/>
            <wp:docPr id="11134690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2817" cy="2171171"/>
                    </a:xfrm>
                    <a:prstGeom prst="rect">
                      <a:avLst/>
                    </a:prstGeom>
                    <a:noFill/>
                    <a:ln>
                      <a:noFill/>
                    </a:ln>
                  </pic:spPr>
                </pic:pic>
              </a:graphicData>
            </a:graphic>
          </wp:inline>
        </w:drawing>
      </w:r>
      <w:r>
        <w:br/>
        <w:t xml:space="preserve">Figure 6. </w:t>
      </w:r>
    </w:p>
    <w:p w14:paraId="2A88064A" w14:textId="2E67DB4B" w:rsidR="005550C8" w:rsidRDefault="005550C8" w:rsidP="003F4ECA">
      <w:r>
        <w:lastRenderedPageBreak/>
        <w:t>Figure 6 shows the arrangement with only the light bulb and globe on the tilt table.  The tilt table was painted black and the values of light in lux were measured at night with this setup</w:t>
      </w:r>
      <w:r w:rsidR="00977FF6">
        <w:t xml:space="preserve">, as a function of tilt angle from 0 to 90 degrees.  These values </w:t>
      </w:r>
      <w:r w:rsidR="008A0940">
        <w:t>were then</w:t>
      </w:r>
      <w:r w:rsidR="00977FF6">
        <w:t xml:space="preserve"> used to adjust the values measured with the light source in the Haines 2 reflector. </w:t>
      </w:r>
    </w:p>
    <w:p w14:paraId="6A6CD5E0" w14:textId="77777777" w:rsidR="00977FF6" w:rsidRDefault="00977FF6" w:rsidP="003F4ECA"/>
    <w:p w14:paraId="340F1A11" w14:textId="4F847506" w:rsidR="00977FF6" w:rsidRPr="00D918D4" w:rsidRDefault="001005B5" w:rsidP="003F4ECA">
      <w:pPr>
        <w:rPr>
          <w:b/>
          <w:bCs/>
        </w:rPr>
      </w:pPr>
      <w:r w:rsidRPr="00D918D4">
        <w:rPr>
          <w:b/>
          <w:bCs/>
        </w:rPr>
        <w:t>Directivity Results</w:t>
      </w:r>
      <w:r w:rsidR="00D918D4" w:rsidRPr="00D918D4">
        <w:rPr>
          <w:b/>
          <w:bCs/>
        </w:rPr>
        <w:t>: Optical Concentration Ratio</w:t>
      </w:r>
    </w:p>
    <w:p w14:paraId="77C99ED7" w14:textId="02B5DFE7" w:rsidR="001005B5" w:rsidRDefault="00873BEA" w:rsidP="003F4ECA">
      <w:r>
        <w:t>The “optical concentration ratio” is simply the ratio of measured brightness in lux divided by the measured brightness of the globe alone on the tilt table, at each angle.</w:t>
      </w:r>
    </w:p>
    <w:p w14:paraId="4CBB1716" w14:textId="77777777" w:rsidR="000D16CD" w:rsidRDefault="000D16CD" w:rsidP="003F4ECA"/>
    <w:p w14:paraId="79C06EC1" w14:textId="7DE02E85" w:rsidR="001005B5" w:rsidRDefault="001005B5" w:rsidP="001005B5">
      <w:pPr>
        <w:jc w:val="center"/>
      </w:pPr>
      <w:r>
        <w:rPr>
          <w:noProof/>
        </w:rPr>
        <w:drawing>
          <wp:inline distT="0" distB="0" distL="0" distR="0" wp14:anchorId="1C65A186" wp14:editId="6603A76A">
            <wp:extent cx="4572000" cy="2984500"/>
            <wp:effectExtent l="0" t="0" r="0" b="6350"/>
            <wp:docPr id="1310393221" name="Chart 1">
              <a:extLst xmlns:a="http://schemas.openxmlformats.org/drawingml/2006/main">
                <a:ext uri="{FF2B5EF4-FFF2-40B4-BE49-F238E27FC236}">
                  <a16:creationId xmlns:a16="http://schemas.microsoft.com/office/drawing/2014/main" id="{931FEFE6-D482-D15C-162B-6EE56FDC27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6B3856" w14:textId="77777777" w:rsidR="001005B5" w:rsidRDefault="001005B5" w:rsidP="001005B5">
      <w:pPr>
        <w:jc w:val="center"/>
      </w:pPr>
      <w:r>
        <w:t>Figure 7.  Haines model 2 directivity.</w:t>
      </w:r>
    </w:p>
    <w:p w14:paraId="1710B114" w14:textId="77777777" w:rsidR="001005B5" w:rsidRDefault="001005B5" w:rsidP="001005B5"/>
    <w:p w14:paraId="403BC2BB" w14:textId="5E84196C" w:rsidR="001005B5" w:rsidRDefault="001005B5" w:rsidP="001005B5">
      <w:r>
        <w:t xml:space="preserve">Figure 7 shows the </w:t>
      </w:r>
      <w:r w:rsidR="0062132A">
        <w:t xml:space="preserve">results for the optical concentration ratio of the Haines model 2 solar cooker at vertical angles from 0 to 90 degrees in </w:t>
      </w:r>
      <w:r w:rsidR="00017A80">
        <w:t>5-degree</w:t>
      </w:r>
      <w:r w:rsidR="0062132A">
        <w:t xml:space="preserve"> steps.  These data have been adjusted to compensate for the non-uniform brightness of the spherical globe.  </w:t>
      </w:r>
    </w:p>
    <w:p w14:paraId="181097CE" w14:textId="77777777" w:rsidR="0062132A" w:rsidRDefault="0062132A" w:rsidP="001005B5"/>
    <w:p w14:paraId="3E1D731E" w14:textId="699A905F" w:rsidR="0062132A" w:rsidRDefault="0062132A" w:rsidP="001005B5">
      <w:proofErr w:type="gramStart"/>
      <w:r>
        <w:t>The Haines</w:t>
      </w:r>
      <w:proofErr w:type="gramEnd"/>
      <w:r>
        <w:t xml:space="preserve"> model 2 has two settings for its reflector: a set of blue snaps or red snaps.  This was intended to provide </w:t>
      </w:r>
      <w:r w:rsidR="00A025B0">
        <w:t xml:space="preserve">an adjustment in the directivity to accommodate lower or high solar altitudes.  As can be seen, the position of the snaps made a significant difference in the angle of maximum </w:t>
      </w:r>
      <w:r w:rsidR="00D918D4">
        <w:t xml:space="preserve">optical </w:t>
      </w:r>
      <w:r w:rsidR="00A025B0">
        <w:t xml:space="preserve">concentration ratio.  </w:t>
      </w:r>
    </w:p>
    <w:p w14:paraId="7532DF10" w14:textId="77777777" w:rsidR="00D918D4" w:rsidRDefault="00D918D4" w:rsidP="001005B5"/>
    <w:p w14:paraId="56FE0465" w14:textId="4A98E180" w:rsidR="00977FF6" w:rsidRPr="003348EE" w:rsidRDefault="00D918D4" w:rsidP="003F4ECA">
      <w:pPr>
        <w:rPr>
          <w:b/>
          <w:bCs/>
        </w:rPr>
      </w:pPr>
      <w:r w:rsidRPr="003348EE">
        <w:rPr>
          <w:b/>
          <w:bCs/>
        </w:rPr>
        <w:t>Directivity</w:t>
      </w:r>
      <w:r w:rsidR="003348EE" w:rsidRPr="003348EE">
        <w:rPr>
          <w:b/>
          <w:bCs/>
        </w:rPr>
        <w:t xml:space="preserve"> Results</w:t>
      </w:r>
      <w:r w:rsidRPr="003348EE">
        <w:rPr>
          <w:b/>
          <w:bCs/>
        </w:rPr>
        <w:t xml:space="preserve">: Intercept Area </w:t>
      </w:r>
    </w:p>
    <w:p w14:paraId="179934DD" w14:textId="0EBA97FE" w:rsidR="008C2CF2" w:rsidRDefault="003348EE" w:rsidP="003F4ECA">
      <w:r>
        <w:t>In addition to measuring the optical concentration area, it w</w:t>
      </w:r>
      <w:r w:rsidR="006541FE">
        <w:t>ould be</w:t>
      </w:r>
      <w:r>
        <w:t xml:space="preserve"> of interest to measure the values of reflector intercept area as a function of vertical angle.  </w:t>
      </w:r>
      <w:r w:rsidR="009B403B">
        <w:t xml:space="preserve">This is the area enclosed by the reflector as seen from a distance at each angle.  </w:t>
      </w:r>
      <w:r>
        <w:t>These values are of importance because they form the basis for calculating the amount of mass load to be used in the ISO and ASAE standards for solar cooker power measurements [</w:t>
      </w:r>
      <w:r w:rsidR="000861F8">
        <w:t>5</w:t>
      </w:r>
      <w:r w:rsidR="00B82676">
        <w:t>].</w:t>
      </w:r>
    </w:p>
    <w:p w14:paraId="758E3E60" w14:textId="77777777" w:rsidR="008E22A9" w:rsidRDefault="008E22A9" w:rsidP="003F4ECA"/>
    <w:p w14:paraId="7CB043C5" w14:textId="7DE64321" w:rsidR="008C2CF2" w:rsidRDefault="00A81057" w:rsidP="003F4ECA">
      <w:r>
        <w:t>If a cooker were a flat box with no reflector, we would expect to see both types of data show a cosine directivity pattern</w:t>
      </w:r>
      <w:r w:rsidR="005E5D9B">
        <w:t xml:space="preserve">, never achieving an optical concentration ratio as high as </w:t>
      </w:r>
      <w:r w:rsidR="005E5D9B">
        <w:lastRenderedPageBreak/>
        <w:t xml:space="preserve">a well-designed panel cooker.  </w:t>
      </w:r>
      <w:r w:rsidR="00193A98">
        <w:t>Therefore</w:t>
      </w:r>
      <w:r w:rsidR="00017A80">
        <w:t>,</w:t>
      </w:r>
      <w:r w:rsidR="005E5D9B">
        <w:t xml:space="preserve"> most box cookers have some additional reflectors </w:t>
      </w:r>
      <w:r w:rsidR="00FA3FC0">
        <w:t>to enhance concentration into the box</w:t>
      </w:r>
      <w:r w:rsidR="005E5D9B">
        <w:t xml:space="preserve">.  </w:t>
      </w:r>
      <w:r w:rsidR="00EB3DFF">
        <w:t>This will a</w:t>
      </w:r>
      <w:r w:rsidR="00640E0B">
        <w:t>lter</w:t>
      </w:r>
      <w:r w:rsidR="00EB3DFF">
        <w:t xml:space="preserve"> the directivity pattern of the cooker</w:t>
      </w:r>
      <w:r w:rsidR="00640E0B">
        <w:t xml:space="preserve"> in some manner</w:t>
      </w:r>
      <w:r w:rsidR="00A738BD">
        <w:t xml:space="preserve">.  </w:t>
      </w:r>
    </w:p>
    <w:p w14:paraId="5A58C3F1" w14:textId="77777777" w:rsidR="005E5D9B" w:rsidRDefault="005E5D9B" w:rsidP="003F4ECA"/>
    <w:p w14:paraId="70D934B5" w14:textId="77777777" w:rsidR="007E61F3" w:rsidRDefault="00B92F2E" w:rsidP="003F4ECA">
      <w:r>
        <w:t>The enhanced optical concentration factor</w:t>
      </w:r>
      <w:r w:rsidR="00A11A88">
        <w:t xml:space="preserve"> of a panel cooker</w:t>
      </w:r>
      <w:r>
        <w:t xml:space="preserve"> is a clear benefit, but to achieve this it is necessary to </w:t>
      </w:r>
      <w:r w:rsidR="001173BE">
        <w:t>know</w:t>
      </w:r>
      <w:r>
        <w:t xml:space="preserve"> the angles of high concentration ratio, and </w:t>
      </w:r>
      <w:r w:rsidR="001173BE">
        <w:t>to adjust the cooker’s angle</w:t>
      </w:r>
      <w:r>
        <w:t xml:space="preserve"> </w:t>
      </w:r>
      <w:r w:rsidR="001173BE">
        <w:t xml:space="preserve">toward </w:t>
      </w:r>
      <w:r>
        <w:t xml:space="preserve">the Sun direction at a given day and time.  </w:t>
      </w:r>
      <w:r w:rsidR="001173BE">
        <w:t xml:space="preserve">In the case of the Haines model 2, these angles are </w:t>
      </w:r>
      <w:r w:rsidR="003911E2">
        <w:t xml:space="preserve">around </w:t>
      </w:r>
      <w:r w:rsidR="001173BE">
        <w:t>60 degrees for the blue snaps and a</w:t>
      </w:r>
      <w:r w:rsidR="003911E2">
        <w:t>roun</w:t>
      </w:r>
      <w:r w:rsidR="00017A80">
        <w:t>d</w:t>
      </w:r>
      <w:r w:rsidR="001173BE">
        <w:t xml:space="preserve"> 85 degrees for the red snaps.  Depending on where on the Earth’s surfac</w:t>
      </w:r>
      <w:r w:rsidR="003911E2">
        <w:t>e</w:t>
      </w:r>
      <w:r w:rsidR="001173BE">
        <w:t xml:space="preserve"> the cookers are used, some adjustment in the </w:t>
      </w:r>
      <w:r w:rsidR="00A11A88">
        <w:t xml:space="preserve">tilt </w:t>
      </w:r>
      <w:r w:rsidR="001173BE">
        <w:t>angle of the base may</w:t>
      </w:r>
      <w:r w:rsidR="006F573D">
        <w:t xml:space="preserve"> also</w:t>
      </w:r>
      <w:r w:rsidR="001173BE">
        <w:t xml:space="preserve"> be needed to </w:t>
      </w:r>
      <w:r w:rsidR="006F573D">
        <w:t xml:space="preserve">optimize performance. </w:t>
      </w:r>
      <w:r w:rsidR="001F667F">
        <w:t xml:space="preserve"> </w:t>
      </w:r>
    </w:p>
    <w:p w14:paraId="2EB446AE" w14:textId="77777777" w:rsidR="007E61F3" w:rsidRDefault="007E61F3" w:rsidP="003F4ECA"/>
    <w:p w14:paraId="2ADF52BF" w14:textId="01C42F33" w:rsidR="00A3426C" w:rsidRDefault="001F667F" w:rsidP="003F4ECA">
      <w:r>
        <w:t xml:space="preserve">Of course, there are limits to the tilt angle </w:t>
      </w:r>
      <w:r w:rsidR="00A3426C">
        <w:t xml:space="preserve">available </w:t>
      </w:r>
      <w:r>
        <w:t>to prevent food</w:t>
      </w:r>
      <w:r w:rsidR="00CF67F8">
        <w:t xml:space="preserve">s from spilling out of the cooking pot!  </w:t>
      </w:r>
      <w:r w:rsidR="00C73806">
        <w:t xml:space="preserve">Formulas have been calculated to show the degree of tilt angle </w:t>
      </w:r>
      <w:r w:rsidR="003E4B5A">
        <w:t xml:space="preserve">possible in a cylindrical pot filled with liquid.  These calculations are </w:t>
      </w:r>
      <w:r w:rsidR="00EF5C78">
        <w:t xml:space="preserve">relevant to cooking with any type of cooking device, of course.  </w:t>
      </w:r>
      <w:r w:rsidR="00D927E2">
        <w:t>A</w:t>
      </w:r>
      <w:r w:rsidR="00EF5C78">
        <w:t xml:space="preserve"> report on this subject is available </w:t>
      </w:r>
      <w:r w:rsidR="007E61F3">
        <w:t>in reference [</w:t>
      </w:r>
      <w:r w:rsidR="000861F8">
        <w:t>6</w:t>
      </w:r>
      <w:r w:rsidR="007E61F3">
        <w:t>].</w:t>
      </w:r>
    </w:p>
    <w:p w14:paraId="6BA8F6F4" w14:textId="77777777" w:rsidR="006F573D" w:rsidRDefault="006F573D" w:rsidP="003F4ECA"/>
    <w:p w14:paraId="22D65442" w14:textId="1EAEC9BD" w:rsidR="006F573D" w:rsidRPr="00A11A88" w:rsidRDefault="003911E2" w:rsidP="003F4ECA">
      <w:pPr>
        <w:rPr>
          <w:b/>
          <w:bCs/>
        </w:rPr>
      </w:pPr>
      <w:r w:rsidRPr="00A11A88">
        <w:rPr>
          <w:b/>
          <w:bCs/>
        </w:rPr>
        <w:t>Conclusions</w:t>
      </w:r>
      <w:r w:rsidR="000E5D78">
        <w:rPr>
          <w:b/>
          <w:bCs/>
        </w:rPr>
        <w:t xml:space="preserve"> and Recommendations</w:t>
      </w:r>
    </w:p>
    <w:p w14:paraId="57AE7E86" w14:textId="42DFD3D7" w:rsidR="006F573D" w:rsidRDefault="00EA3847" w:rsidP="003F4ECA">
      <w:r>
        <w:t xml:space="preserve">Directivity of solar cookers, particularly panel-type solar cookers such as the Haines models, is highly dependent on vertical angle.  </w:t>
      </w:r>
      <w:r w:rsidR="000E5D78">
        <w:t xml:space="preserve">This dependence has often been neglected, </w:t>
      </w:r>
      <w:r w:rsidR="0057345C">
        <w:t xml:space="preserve">which may </w:t>
      </w:r>
      <w:r w:rsidR="000E5D78">
        <w:t xml:space="preserve">result in </w:t>
      </w:r>
      <w:r w:rsidR="0057345C">
        <w:t>sub-</w:t>
      </w:r>
      <w:r w:rsidR="000E5D78">
        <w:t xml:space="preserve">optimum heating performance.  Therefore, it is recommended that all manufacturers of these devices should measure the directivity of their devices using a simple apparatus such as the one described here.  This information can be helpful to users depending on their latitude and the time of year.  </w:t>
      </w:r>
    </w:p>
    <w:p w14:paraId="46DAFF66" w14:textId="77777777" w:rsidR="000E5D78" w:rsidRDefault="000E5D78" w:rsidP="003F4ECA"/>
    <w:p w14:paraId="0F2E1FA6" w14:textId="3C792A94" w:rsidR="00573C4F" w:rsidRDefault="00FD6DA8" w:rsidP="003F4ECA">
      <w:r>
        <w:t>The ISO/ASAE standard for solar cooker performance has been valuable to assist in standardizing the measurement of power in a solar cooker.  The current standard recognizes the importance of intercept area, but it does not include a discussion of directivity as a factor in performance.  Perhap</w:t>
      </w:r>
      <w:r w:rsidR="003425EB">
        <w:t>s in the next version of the standard it could do so.  One option would be to simpl</w:t>
      </w:r>
      <w:r w:rsidR="00E2578E">
        <w:t>y</w:t>
      </w:r>
      <w:r w:rsidR="003425EB">
        <w:t xml:space="preserve"> add a measurement of optical concentration ratio to accompany the power </w:t>
      </w:r>
      <w:r w:rsidR="00017A80">
        <w:t>measurement</w:t>
      </w:r>
      <w:r w:rsidR="003425EB">
        <w:t xml:space="preserve">.  This would provide users with the information they need for maximizing performance.  </w:t>
      </w:r>
    </w:p>
    <w:p w14:paraId="26C4D0EC" w14:textId="77777777" w:rsidR="00573C4F" w:rsidRDefault="00573C4F" w:rsidP="003F4ECA"/>
    <w:p w14:paraId="353DD61F" w14:textId="7C934651" w:rsidR="000E5D78" w:rsidRDefault="003425EB" w:rsidP="003F4ECA">
      <w:r>
        <w:t xml:space="preserve">Alternatively, the solar cooker could be mounted on a tilt table for </w:t>
      </w:r>
      <w:proofErr w:type="gramStart"/>
      <w:r>
        <w:t>the power</w:t>
      </w:r>
      <w:proofErr w:type="gramEnd"/>
      <w:r>
        <w:t xml:space="preserve"> measurement and adjusted to maximize the optical concentration ratio.  </w:t>
      </w:r>
      <w:r w:rsidR="00573C4F">
        <w:t xml:space="preserve">However, such a measurement might be </w:t>
      </w:r>
      <w:r w:rsidR="00BF79C9">
        <w:t>problematic</w:t>
      </w:r>
      <w:r w:rsidR="00573C4F">
        <w:t xml:space="preserve">, because the load is water, and tilt angles affect the geometry of the cooking pot as well as the cooker.  It may prove impossible to conduct the </w:t>
      </w:r>
      <w:r w:rsidR="00017A80">
        <w:t>measurement</w:t>
      </w:r>
      <w:r w:rsidR="00573C4F">
        <w:t xml:space="preserve"> without spilling the load.  </w:t>
      </w:r>
    </w:p>
    <w:p w14:paraId="7DFEC12D" w14:textId="77777777" w:rsidR="00486108" w:rsidRDefault="00486108" w:rsidP="003F4ECA"/>
    <w:p w14:paraId="5C83AA51" w14:textId="57D9DC7C" w:rsidR="00486108" w:rsidRDefault="00486108" w:rsidP="003F4ECA">
      <w:r>
        <w:t>For further research, it would be helpful to quantify experimentally the relationship between optical concentration ratio</w:t>
      </w:r>
      <w:r w:rsidR="00E32AC3">
        <w:t>, intercept area</w:t>
      </w:r>
      <w:r>
        <w:t xml:space="preserve"> and cooking power for various solar cooker designs.  </w:t>
      </w:r>
    </w:p>
    <w:p w14:paraId="3C295168" w14:textId="77777777" w:rsidR="00573C4F" w:rsidRDefault="00573C4F" w:rsidP="003F4ECA"/>
    <w:p w14:paraId="59AC2BDF" w14:textId="77777777" w:rsidR="00573C4F" w:rsidRDefault="00573C4F" w:rsidP="003F4ECA"/>
    <w:p w14:paraId="14CC4F20" w14:textId="77777777" w:rsidR="00E32AC3" w:rsidRDefault="00E32AC3" w:rsidP="00BF1D96">
      <w:pPr>
        <w:jc w:val="center"/>
        <w:rPr>
          <w:b/>
          <w:bCs/>
        </w:rPr>
      </w:pPr>
    </w:p>
    <w:p w14:paraId="23CC6F16" w14:textId="77777777" w:rsidR="00E32AC3" w:rsidRDefault="00E32AC3" w:rsidP="00BF1D96">
      <w:pPr>
        <w:jc w:val="center"/>
        <w:rPr>
          <w:b/>
          <w:bCs/>
        </w:rPr>
      </w:pPr>
    </w:p>
    <w:p w14:paraId="073E3ACF" w14:textId="7D042A01" w:rsidR="006F573D" w:rsidRPr="00BF1D96" w:rsidRDefault="00BF1D96" w:rsidP="00BF1D96">
      <w:pPr>
        <w:jc w:val="center"/>
        <w:rPr>
          <w:b/>
          <w:bCs/>
        </w:rPr>
      </w:pPr>
      <w:r w:rsidRPr="00BF1D96">
        <w:rPr>
          <w:b/>
          <w:bCs/>
        </w:rPr>
        <w:lastRenderedPageBreak/>
        <w:t>References</w:t>
      </w:r>
    </w:p>
    <w:p w14:paraId="486C0D39" w14:textId="77777777" w:rsidR="00B92F2E" w:rsidRDefault="00B92F2E" w:rsidP="003F4ECA"/>
    <w:p w14:paraId="770E346C" w14:textId="2A2B5B98" w:rsidR="00B92F2E" w:rsidRDefault="00713AC1" w:rsidP="00713AC1">
      <w:r w:rsidRPr="00713AC1">
        <w:rPr>
          <w:rFonts w:asciiTheme="majorHAnsi" w:hAnsiTheme="majorHAnsi" w:cstheme="majorHAnsi"/>
        </w:rPr>
        <w:t>1. Arveson, P. “Procedure for determining the directivity of a solar cooker</w:t>
      </w:r>
      <w:proofErr w:type="gramStart"/>
      <w:r w:rsidRPr="00713AC1">
        <w:rPr>
          <w:rFonts w:asciiTheme="majorHAnsi" w:hAnsiTheme="majorHAnsi" w:cstheme="majorHAnsi"/>
        </w:rPr>
        <w:t>”,  TR</w:t>
      </w:r>
      <w:proofErr w:type="gramEnd"/>
      <w:r w:rsidRPr="00713AC1">
        <w:rPr>
          <w:rFonts w:asciiTheme="majorHAnsi" w:hAnsiTheme="majorHAnsi" w:cstheme="majorHAnsi"/>
        </w:rPr>
        <w:t>-27a, June 6, 2017</w:t>
      </w:r>
      <w:r>
        <w:rPr>
          <w:rFonts w:asciiTheme="majorHAnsi" w:hAnsiTheme="majorHAnsi" w:cstheme="majorHAnsi"/>
        </w:rPr>
        <w:t xml:space="preserve"> (rev. June 9, 2018)</w:t>
      </w:r>
      <w:r w:rsidRPr="00713AC1">
        <w:rPr>
          <w:rFonts w:asciiTheme="majorHAnsi" w:hAnsiTheme="majorHAnsi" w:cstheme="majorHAnsi"/>
        </w:rPr>
        <w:t xml:space="preserve">.  </w:t>
      </w:r>
      <w:hyperlink r:id="rId17" w:history="1">
        <w:r w:rsidRPr="00713AC1">
          <w:rPr>
            <w:rStyle w:val="Hyperlink"/>
            <w:rFonts w:asciiTheme="majorHAnsi" w:hAnsiTheme="majorHAnsi" w:cstheme="majorHAnsi"/>
          </w:rPr>
          <w:t>https://www.she-inc.org/wp-content/uploads/2018/05/TR-27a-Procedure-for-Determining-the-Directivity-of-a-Solar-Cooker.pdf</w:t>
        </w:r>
      </w:hyperlink>
      <w:r w:rsidR="00BF1D96">
        <w:t>., “</w:t>
      </w:r>
    </w:p>
    <w:p w14:paraId="4F83B450" w14:textId="77777777" w:rsidR="008C2CF2" w:rsidRDefault="008C2CF2" w:rsidP="003F4ECA"/>
    <w:p w14:paraId="6D5C8AF4" w14:textId="41E3B399" w:rsidR="00A16D69" w:rsidRDefault="00713AC1" w:rsidP="003F4ECA">
      <w:pPr>
        <w:rPr>
          <w:rFonts w:asciiTheme="majorHAnsi" w:hAnsiTheme="majorHAnsi" w:cstheme="majorHAnsi"/>
        </w:rPr>
      </w:pPr>
      <w:r>
        <w:rPr>
          <w:rFonts w:asciiTheme="majorHAnsi" w:hAnsiTheme="majorHAnsi" w:cstheme="majorHAnsi"/>
        </w:rPr>
        <w:t>2. Martin, C. L. and Goswami, B. Y., “Solar Energy Pocket Reference”, Intl. Solar Energy Society</w:t>
      </w:r>
      <w:r w:rsidR="007C4CEF">
        <w:rPr>
          <w:rFonts w:asciiTheme="majorHAnsi" w:hAnsiTheme="majorHAnsi" w:cstheme="majorHAnsi"/>
        </w:rPr>
        <w:t xml:space="preserve">, ISBN 0977128202 (2005).  </w:t>
      </w:r>
    </w:p>
    <w:p w14:paraId="6F25CFB5" w14:textId="77777777" w:rsidR="00553FDD" w:rsidRDefault="00553FDD" w:rsidP="003F4ECA">
      <w:pPr>
        <w:rPr>
          <w:rFonts w:asciiTheme="majorHAnsi" w:hAnsiTheme="majorHAnsi" w:cstheme="majorHAnsi"/>
        </w:rPr>
      </w:pPr>
    </w:p>
    <w:p w14:paraId="0A51F03E" w14:textId="551149B6" w:rsidR="00553FDD" w:rsidRDefault="00553FDD" w:rsidP="003F4ECA">
      <w:pPr>
        <w:rPr>
          <w:rFonts w:asciiTheme="majorHAnsi" w:hAnsiTheme="majorHAnsi" w:cstheme="majorHAnsi"/>
        </w:rPr>
      </w:pPr>
      <w:r>
        <w:rPr>
          <w:rFonts w:asciiTheme="majorHAnsi" w:hAnsiTheme="majorHAnsi" w:cstheme="majorHAnsi"/>
        </w:rPr>
        <w:t xml:space="preserve">3. NOAA </w:t>
      </w:r>
      <w:r w:rsidR="005B5E3A">
        <w:rPr>
          <w:rFonts w:asciiTheme="majorHAnsi" w:hAnsiTheme="majorHAnsi" w:cstheme="majorHAnsi"/>
        </w:rPr>
        <w:t xml:space="preserve">Solar Calculator, Global Monitoring Laboratory, </w:t>
      </w:r>
      <w:hyperlink r:id="rId18" w:history="1">
        <w:r w:rsidR="005B5E3A" w:rsidRPr="008F320E">
          <w:rPr>
            <w:rStyle w:val="Hyperlink"/>
            <w:rFonts w:asciiTheme="majorHAnsi" w:hAnsiTheme="majorHAnsi" w:cstheme="majorHAnsi"/>
          </w:rPr>
          <w:t>https://gml.noaa.gov/grad/solcalc/</w:t>
        </w:r>
      </w:hyperlink>
    </w:p>
    <w:p w14:paraId="2D049AD8" w14:textId="534A9FB5" w:rsidR="007C4CEF" w:rsidRDefault="007C4CEF" w:rsidP="003F4ECA">
      <w:pPr>
        <w:rPr>
          <w:rFonts w:asciiTheme="majorHAnsi" w:hAnsiTheme="majorHAnsi" w:cstheme="majorHAnsi"/>
        </w:rPr>
      </w:pPr>
    </w:p>
    <w:p w14:paraId="09B215B1" w14:textId="7995435D" w:rsidR="007C4CEF" w:rsidRDefault="005B5E3A" w:rsidP="003F4ECA">
      <w:pPr>
        <w:rPr>
          <w:rFonts w:asciiTheme="majorHAnsi" w:hAnsiTheme="majorHAnsi" w:cstheme="majorHAnsi"/>
        </w:rPr>
      </w:pPr>
      <w:r>
        <w:rPr>
          <w:rFonts w:asciiTheme="majorHAnsi" w:hAnsiTheme="majorHAnsi" w:cstheme="majorHAnsi"/>
        </w:rPr>
        <w:t>4</w:t>
      </w:r>
      <w:r w:rsidR="007C4CEF">
        <w:rPr>
          <w:rFonts w:asciiTheme="majorHAnsi" w:hAnsiTheme="majorHAnsi" w:cstheme="majorHAnsi"/>
        </w:rPr>
        <w:t xml:space="preserve">. Haines Solar Cookers, </w:t>
      </w:r>
      <w:hyperlink r:id="rId19" w:history="1">
        <w:r w:rsidR="00CA75A7" w:rsidRPr="00CA75A7">
          <w:rPr>
            <w:rStyle w:val="Hyperlink"/>
            <w:rFonts w:asciiTheme="majorHAnsi" w:hAnsiTheme="majorHAnsi" w:cstheme="majorHAnsi"/>
          </w:rPr>
          <w:t>https://hainessolarcookers.com/</w:t>
        </w:r>
      </w:hyperlink>
    </w:p>
    <w:p w14:paraId="30740133" w14:textId="77777777" w:rsidR="00CA75A7" w:rsidRDefault="00CA75A7" w:rsidP="003F4ECA">
      <w:pPr>
        <w:rPr>
          <w:rFonts w:asciiTheme="majorHAnsi" w:hAnsiTheme="majorHAnsi" w:cstheme="majorHAnsi"/>
        </w:rPr>
      </w:pPr>
    </w:p>
    <w:p w14:paraId="01825568" w14:textId="1A549BB1" w:rsidR="00B82676" w:rsidRDefault="005B5E3A" w:rsidP="00B82676">
      <w:pPr>
        <w:rPr>
          <w:rFonts w:asciiTheme="majorHAnsi" w:hAnsiTheme="majorHAnsi" w:cstheme="majorHAnsi"/>
        </w:rPr>
      </w:pPr>
      <w:r>
        <w:rPr>
          <w:rFonts w:asciiTheme="majorHAnsi" w:hAnsiTheme="majorHAnsi" w:cstheme="majorHAnsi"/>
        </w:rPr>
        <w:t>5</w:t>
      </w:r>
      <w:r w:rsidR="00B82676">
        <w:rPr>
          <w:rFonts w:asciiTheme="majorHAnsi" w:hAnsiTheme="majorHAnsi" w:cstheme="majorHAnsi"/>
        </w:rPr>
        <w:t>.</w:t>
      </w:r>
      <w:r w:rsidR="00B82676" w:rsidRPr="00724E1D">
        <w:rPr>
          <w:rFonts w:asciiTheme="majorHAnsi" w:hAnsiTheme="majorHAnsi" w:cstheme="majorHAnsi"/>
        </w:rPr>
        <w:t xml:space="preserve"> “Testing and Reporting Solar Cooker Performance”, American Society of Agricultural and Biological Engineers, ASABE S.580.1, Nov. 2013.  </w:t>
      </w:r>
      <w:hyperlink r:id="rId20" w:history="1">
        <w:r w:rsidR="00B82676" w:rsidRPr="00724E1D">
          <w:rPr>
            <w:rStyle w:val="Hyperlink"/>
            <w:rFonts w:asciiTheme="majorHAnsi" w:hAnsiTheme="majorHAnsi" w:cstheme="majorHAnsi"/>
          </w:rPr>
          <w:t>http://www.asabe.org/media/200979/s580.1.pdf</w:t>
        </w:r>
      </w:hyperlink>
      <w:r w:rsidR="00B82676" w:rsidRPr="00724E1D">
        <w:rPr>
          <w:rFonts w:asciiTheme="majorHAnsi" w:hAnsiTheme="majorHAnsi" w:cstheme="majorHAnsi"/>
        </w:rPr>
        <w:t xml:space="preserve"> </w:t>
      </w:r>
    </w:p>
    <w:p w14:paraId="51D16C6D" w14:textId="77777777" w:rsidR="00B82676" w:rsidRDefault="00B82676" w:rsidP="003F4ECA">
      <w:pPr>
        <w:rPr>
          <w:rFonts w:asciiTheme="majorHAnsi" w:hAnsiTheme="majorHAnsi" w:cstheme="majorHAnsi"/>
        </w:rPr>
      </w:pPr>
    </w:p>
    <w:p w14:paraId="3911EB65" w14:textId="16046634" w:rsidR="00B82676" w:rsidRDefault="005B5E3A" w:rsidP="003F4ECA">
      <w:pPr>
        <w:rPr>
          <w:rFonts w:asciiTheme="majorHAnsi" w:hAnsiTheme="majorHAnsi" w:cstheme="majorHAnsi"/>
        </w:rPr>
      </w:pPr>
      <w:r>
        <w:rPr>
          <w:rFonts w:asciiTheme="majorHAnsi" w:hAnsiTheme="majorHAnsi" w:cstheme="majorHAnsi"/>
        </w:rPr>
        <w:t>6</w:t>
      </w:r>
      <w:r w:rsidR="007C0903">
        <w:rPr>
          <w:rFonts w:asciiTheme="majorHAnsi" w:hAnsiTheme="majorHAnsi" w:cstheme="majorHAnsi"/>
        </w:rPr>
        <w:t xml:space="preserve">. Arveson, P., “The Tipping Pot Problem”, </w:t>
      </w:r>
      <w:hyperlink r:id="rId21" w:history="1">
        <w:r w:rsidR="007C0903" w:rsidRPr="00897CDE">
          <w:rPr>
            <w:rStyle w:val="Hyperlink"/>
            <w:rFonts w:asciiTheme="majorHAnsi" w:hAnsiTheme="majorHAnsi" w:cstheme="majorHAnsi"/>
          </w:rPr>
          <w:t>https://www.washacadsci.org/Journal/Journalarticles/V.104.1a.pdf</w:t>
        </w:r>
      </w:hyperlink>
    </w:p>
    <w:p w14:paraId="33902DFB" w14:textId="77777777" w:rsidR="007C0903" w:rsidRDefault="007C0903" w:rsidP="003F4ECA">
      <w:pPr>
        <w:rPr>
          <w:rFonts w:asciiTheme="majorHAnsi" w:hAnsiTheme="majorHAnsi" w:cstheme="majorHAnsi"/>
        </w:rPr>
      </w:pPr>
    </w:p>
    <w:p w14:paraId="1B382B23" w14:textId="77777777" w:rsidR="007C0903" w:rsidRDefault="007C0903" w:rsidP="003F4ECA">
      <w:pPr>
        <w:rPr>
          <w:rFonts w:asciiTheme="majorHAnsi" w:hAnsiTheme="majorHAnsi" w:cstheme="majorHAnsi"/>
        </w:rPr>
      </w:pPr>
    </w:p>
    <w:p w14:paraId="5CC0BA97" w14:textId="77777777" w:rsidR="004B43A8" w:rsidRDefault="004B43A8" w:rsidP="003F4ECA">
      <w:pPr>
        <w:rPr>
          <w:rFonts w:asciiTheme="majorHAnsi" w:hAnsiTheme="majorHAnsi" w:cstheme="majorHAnsi"/>
        </w:rPr>
      </w:pPr>
    </w:p>
    <w:sectPr w:rsidR="004B43A8" w:rsidSect="007A7270">
      <w:footerReference w:type="default" r:id="rId22"/>
      <w:pgSz w:w="12240" w:h="15840"/>
      <w:pgMar w:top="1440" w:right="1800" w:bottom="1440" w:left="180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47357" w14:textId="77777777" w:rsidR="004627CE" w:rsidRDefault="004627CE">
      <w:r>
        <w:separator/>
      </w:r>
    </w:p>
  </w:endnote>
  <w:endnote w:type="continuationSeparator" w:id="0">
    <w:p w14:paraId="1D9EAB28" w14:textId="77777777" w:rsidR="004627CE" w:rsidRDefault="004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334431"/>
      <w:docPartObj>
        <w:docPartGallery w:val="Page Numbers (Bottom of Page)"/>
        <w:docPartUnique/>
      </w:docPartObj>
    </w:sdtPr>
    <w:sdtEndPr>
      <w:rPr>
        <w:noProof/>
      </w:rPr>
    </w:sdtEndPr>
    <w:sdtContent>
      <w:p w14:paraId="204AFBEB" w14:textId="77777777" w:rsidR="00CC0CB2" w:rsidRDefault="00CC0CB2">
        <w:pPr>
          <w:pStyle w:val="Footer"/>
          <w:jc w:val="center"/>
        </w:pPr>
        <w:r>
          <w:fldChar w:fldCharType="begin"/>
        </w:r>
        <w:r>
          <w:instrText xml:space="preserve"> PAGE   \* MERGEFORMAT </w:instrText>
        </w:r>
        <w:r>
          <w:fldChar w:fldCharType="separate"/>
        </w:r>
        <w:r w:rsidR="00050451">
          <w:rPr>
            <w:noProof/>
          </w:rPr>
          <w:t>1</w:t>
        </w:r>
        <w:r>
          <w:rPr>
            <w:noProof/>
          </w:rPr>
          <w:fldChar w:fldCharType="end"/>
        </w:r>
      </w:p>
    </w:sdtContent>
  </w:sdt>
  <w:p w14:paraId="77AF2D07" w14:textId="77777777" w:rsidR="00CC0CB2" w:rsidRDefault="00CC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FFE08" w14:textId="77777777" w:rsidR="004627CE" w:rsidRDefault="004627CE">
      <w:r>
        <w:separator/>
      </w:r>
    </w:p>
  </w:footnote>
  <w:footnote w:type="continuationSeparator" w:id="0">
    <w:p w14:paraId="4A09E3FB" w14:textId="77777777" w:rsidR="004627CE" w:rsidRDefault="0046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594A"/>
    <w:multiLevelType w:val="hybridMultilevel"/>
    <w:tmpl w:val="5B7C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35705"/>
    <w:multiLevelType w:val="hybridMultilevel"/>
    <w:tmpl w:val="296E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E13E8"/>
    <w:multiLevelType w:val="hybridMultilevel"/>
    <w:tmpl w:val="A1E2EE8A"/>
    <w:lvl w:ilvl="0" w:tplc="F63A8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8DC"/>
    <w:multiLevelType w:val="hybridMultilevel"/>
    <w:tmpl w:val="3F54F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021CC9"/>
    <w:multiLevelType w:val="hybridMultilevel"/>
    <w:tmpl w:val="0164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623F0"/>
    <w:multiLevelType w:val="hybridMultilevel"/>
    <w:tmpl w:val="D900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14EA0"/>
    <w:multiLevelType w:val="hybridMultilevel"/>
    <w:tmpl w:val="5154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C3683E"/>
    <w:multiLevelType w:val="hybridMultilevel"/>
    <w:tmpl w:val="C9A2CE5A"/>
    <w:lvl w:ilvl="0" w:tplc="F63A8F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3729A2"/>
    <w:multiLevelType w:val="hybridMultilevel"/>
    <w:tmpl w:val="E2B0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73340">
    <w:abstractNumId w:val="4"/>
  </w:num>
  <w:num w:numId="2" w16cid:durableId="805049867">
    <w:abstractNumId w:val="2"/>
  </w:num>
  <w:num w:numId="3" w16cid:durableId="26372960">
    <w:abstractNumId w:val="7"/>
  </w:num>
  <w:num w:numId="4" w16cid:durableId="827667845">
    <w:abstractNumId w:val="6"/>
  </w:num>
  <w:num w:numId="5" w16cid:durableId="1624192304">
    <w:abstractNumId w:val="0"/>
  </w:num>
  <w:num w:numId="6" w16cid:durableId="260989792">
    <w:abstractNumId w:val="8"/>
  </w:num>
  <w:num w:numId="7" w16cid:durableId="1490363155">
    <w:abstractNumId w:val="1"/>
  </w:num>
  <w:num w:numId="8" w16cid:durableId="602570375">
    <w:abstractNumId w:val="5"/>
  </w:num>
  <w:num w:numId="9" w16cid:durableId="90036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F6"/>
    <w:rsid w:val="00002B8C"/>
    <w:rsid w:val="00004B2E"/>
    <w:rsid w:val="00004D1F"/>
    <w:rsid w:val="0001783C"/>
    <w:rsid w:val="00017A80"/>
    <w:rsid w:val="00020D73"/>
    <w:rsid w:val="00021F8D"/>
    <w:rsid w:val="00027293"/>
    <w:rsid w:val="00032F09"/>
    <w:rsid w:val="0003315C"/>
    <w:rsid w:val="0004057A"/>
    <w:rsid w:val="00050451"/>
    <w:rsid w:val="000509E4"/>
    <w:rsid w:val="000574DE"/>
    <w:rsid w:val="00072970"/>
    <w:rsid w:val="00076BD0"/>
    <w:rsid w:val="000861F8"/>
    <w:rsid w:val="000A707C"/>
    <w:rsid w:val="000B3135"/>
    <w:rsid w:val="000B63D3"/>
    <w:rsid w:val="000C1FFE"/>
    <w:rsid w:val="000C5883"/>
    <w:rsid w:val="000C7D58"/>
    <w:rsid w:val="000D16CD"/>
    <w:rsid w:val="000D6EBA"/>
    <w:rsid w:val="000E5D78"/>
    <w:rsid w:val="000F52FA"/>
    <w:rsid w:val="000F7623"/>
    <w:rsid w:val="001005B5"/>
    <w:rsid w:val="001016FA"/>
    <w:rsid w:val="00105AFB"/>
    <w:rsid w:val="001173BE"/>
    <w:rsid w:val="00131FFD"/>
    <w:rsid w:val="00133998"/>
    <w:rsid w:val="00153C45"/>
    <w:rsid w:val="0015472B"/>
    <w:rsid w:val="00163B87"/>
    <w:rsid w:val="0017352C"/>
    <w:rsid w:val="00175946"/>
    <w:rsid w:val="00193A98"/>
    <w:rsid w:val="00197603"/>
    <w:rsid w:val="001A24DC"/>
    <w:rsid w:val="001B3689"/>
    <w:rsid w:val="001B42BB"/>
    <w:rsid w:val="001B69AD"/>
    <w:rsid w:val="001F667F"/>
    <w:rsid w:val="002203D5"/>
    <w:rsid w:val="00240E2A"/>
    <w:rsid w:val="00244932"/>
    <w:rsid w:val="00245EC9"/>
    <w:rsid w:val="002475F6"/>
    <w:rsid w:val="002538BD"/>
    <w:rsid w:val="00271FA6"/>
    <w:rsid w:val="002778B0"/>
    <w:rsid w:val="0029237B"/>
    <w:rsid w:val="00294991"/>
    <w:rsid w:val="002A0521"/>
    <w:rsid w:val="002A16FC"/>
    <w:rsid w:val="002A352C"/>
    <w:rsid w:val="002A59A5"/>
    <w:rsid w:val="002B3F4A"/>
    <w:rsid w:val="002B64FC"/>
    <w:rsid w:val="002B6699"/>
    <w:rsid w:val="002C19B7"/>
    <w:rsid w:val="002D635C"/>
    <w:rsid w:val="002F0487"/>
    <w:rsid w:val="003008C5"/>
    <w:rsid w:val="00301084"/>
    <w:rsid w:val="00324E5E"/>
    <w:rsid w:val="003348EE"/>
    <w:rsid w:val="0033570B"/>
    <w:rsid w:val="003424D7"/>
    <w:rsid w:val="003425EB"/>
    <w:rsid w:val="00344724"/>
    <w:rsid w:val="00364AD1"/>
    <w:rsid w:val="003721AA"/>
    <w:rsid w:val="00376675"/>
    <w:rsid w:val="003775CD"/>
    <w:rsid w:val="00380E69"/>
    <w:rsid w:val="003911E2"/>
    <w:rsid w:val="003916A7"/>
    <w:rsid w:val="00392378"/>
    <w:rsid w:val="00392FDC"/>
    <w:rsid w:val="003A6494"/>
    <w:rsid w:val="003B41D9"/>
    <w:rsid w:val="003C24AF"/>
    <w:rsid w:val="003C30F9"/>
    <w:rsid w:val="003D3E60"/>
    <w:rsid w:val="003E156A"/>
    <w:rsid w:val="003E4B5A"/>
    <w:rsid w:val="003F1A59"/>
    <w:rsid w:val="003F37E7"/>
    <w:rsid w:val="003F4ECA"/>
    <w:rsid w:val="00411FF1"/>
    <w:rsid w:val="0041479E"/>
    <w:rsid w:val="00415F5A"/>
    <w:rsid w:val="004169B9"/>
    <w:rsid w:val="004207BC"/>
    <w:rsid w:val="004222BE"/>
    <w:rsid w:val="004224C9"/>
    <w:rsid w:val="00440F09"/>
    <w:rsid w:val="004465B3"/>
    <w:rsid w:val="0044683D"/>
    <w:rsid w:val="00446C16"/>
    <w:rsid w:val="0045164F"/>
    <w:rsid w:val="00453B7E"/>
    <w:rsid w:val="004627CE"/>
    <w:rsid w:val="00463B3B"/>
    <w:rsid w:val="00467F61"/>
    <w:rsid w:val="004700AF"/>
    <w:rsid w:val="004759F9"/>
    <w:rsid w:val="00477742"/>
    <w:rsid w:val="00480237"/>
    <w:rsid w:val="00486108"/>
    <w:rsid w:val="004A5C93"/>
    <w:rsid w:val="004B43A8"/>
    <w:rsid w:val="004C1F24"/>
    <w:rsid w:val="004C4A64"/>
    <w:rsid w:val="004E05AC"/>
    <w:rsid w:val="004E661C"/>
    <w:rsid w:val="004E6B6D"/>
    <w:rsid w:val="004F3E52"/>
    <w:rsid w:val="004F5D8A"/>
    <w:rsid w:val="00502C69"/>
    <w:rsid w:val="00504352"/>
    <w:rsid w:val="005115B5"/>
    <w:rsid w:val="0051321E"/>
    <w:rsid w:val="0051532A"/>
    <w:rsid w:val="00531F0A"/>
    <w:rsid w:val="005532CD"/>
    <w:rsid w:val="00553FDD"/>
    <w:rsid w:val="005550C8"/>
    <w:rsid w:val="005559C6"/>
    <w:rsid w:val="00566D8D"/>
    <w:rsid w:val="00570916"/>
    <w:rsid w:val="00571D2A"/>
    <w:rsid w:val="0057212A"/>
    <w:rsid w:val="0057345C"/>
    <w:rsid w:val="00573C4F"/>
    <w:rsid w:val="00577DD4"/>
    <w:rsid w:val="00582704"/>
    <w:rsid w:val="005849EE"/>
    <w:rsid w:val="005858E3"/>
    <w:rsid w:val="005905E2"/>
    <w:rsid w:val="005A0A7C"/>
    <w:rsid w:val="005A5C09"/>
    <w:rsid w:val="005B4315"/>
    <w:rsid w:val="005B5E3A"/>
    <w:rsid w:val="005B74E7"/>
    <w:rsid w:val="005B754C"/>
    <w:rsid w:val="005B7A57"/>
    <w:rsid w:val="005C46CC"/>
    <w:rsid w:val="005E5D9B"/>
    <w:rsid w:val="005F555A"/>
    <w:rsid w:val="0062132A"/>
    <w:rsid w:val="00640E0B"/>
    <w:rsid w:val="00644D79"/>
    <w:rsid w:val="006541FE"/>
    <w:rsid w:val="0066094A"/>
    <w:rsid w:val="006678AD"/>
    <w:rsid w:val="006801A9"/>
    <w:rsid w:val="006866A1"/>
    <w:rsid w:val="00686B2F"/>
    <w:rsid w:val="006900C7"/>
    <w:rsid w:val="00692F07"/>
    <w:rsid w:val="006B463B"/>
    <w:rsid w:val="006B5E38"/>
    <w:rsid w:val="006C4814"/>
    <w:rsid w:val="006C7C6D"/>
    <w:rsid w:val="006D2FC5"/>
    <w:rsid w:val="006E51BD"/>
    <w:rsid w:val="006E56EB"/>
    <w:rsid w:val="006E7B92"/>
    <w:rsid w:val="006F36AE"/>
    <w:rsid w:val="006F573D"/>
    <w:rsid w:val="00700E7B"/>
    <w:rsid w:val="007043C3"/>
    <w:rsid w:val="0071007C"/>
    <w:rsid w:val="00713AC1"/>
    <w:rsid w:val="00716A80"/>
    <w:rsid w:val="00721D43"/>
    <w:rsid w:val="00722654"/>
    <w:rsid w:val="00724E1D"/>
    <w:rsid w:val="007532E5"/>
    <w:rsid w:val="0075419C"/>
    <w:rsid w:val="00756CE1"/>
    <w:rsid w:val="007739AB"/>
    <w:rsid w:val="007739FE"/>
    <w:rsid w:val="00780E66"/>
    <w:rsid w:val="00792A3C"/>
    <w:rsid w:val="007A19AC"/>
    <w:rsid w:val="007A7270"/>
    <w:rsid w:val="007B334C"/>
    <w:rsid w:val="007C0903"/>
    <w:rsid w:val="007C4CEF"/>
    <w:rsid w:val="007C602B"/>
    <w:rsid w:val="007E61F3"/>
    <w:rsid w:val="007E7B5A"/>
    <w:rsid w:val="007F32EA"/>
    <w:rsid w:val="00807F00"/>
    <w:rsid w:val="008122A6"/>
    <w:rsid w:val="0082184C"/>
    <w:rsid w:val="008339B2"/>
    <w:rsid w:val="00851DD7"/>
    <w:rsid w:val="00873BEA"/>
    <w:rsid w:val="008826E4"/>
    <w:rsid w:val="00886CE7"/>
    <w:rsid w:val="00897E88"/>
    <w:rsid w:val="008A0940"/>
    <w:rsid w:val="008A612F"/>
    <w:rsid w:val="008B0559"/>
    <w:rsid w:val="008B4F70"/>
    <w:rsid w:val="008B60D1"/>
    <w:rsid w:val="008C2CF2"/>
    <w:rsid w:val="008C44D2"/>
    <w:rsid w:val="008E22A9"/>
    <w:rsid w:val="008E6BFF"/>
    <w:rsid w:val="008F7C03"/>
    <w:rsid w:val="0091593E"/>
    <w:rsid w:val="0092586D"/>
    <w:rsid w:val="00940426"/>
    <w:rsid w:val="00944953"/>
    <w:rsid w:val="00977485"/>
    <w:rsid w:val="00977FF6"/>
    <w:rsid w:val="0098744D"/>
    <w:rsid w:val="00997821"/>
    <w:rsid w:val="009B10D2"/>
    <w:rsid w:val="009B1B80"/>
    <w:rsid w:val="009B403B"/>
    <w:rsid w:val="009B4C95"/>
    <w:rsid w:val="009B60F5"/>
    <w:rsid w:val="009B6B0E"/>
    <w:rsid w:val="009C1A54"/>
    <w:rsid w:val="009C42EA"/>
    <w:rsid w:val="009D585C"/>
    <w:rsid w:val="009D5A18"/>
    <w:rsid w:val="009E0BF0"/>
    <w:rsid w:val="009E36F7"/>
    <w:rsid w:val="009F3077"/>
    <w:rsid w:val="009F512C"/>
    <w:rsid w:val="00A025B0"/>
    <w:rsid w:val="00A11A88"/>
    <w:rsid w:val="00A12BFC"/>
    <w:rsid w:val="00A13C02"/>
    <w:rsid w:val="00A16D69"/>
    <w:rsid w:val="00A232F1"/>
    <w:rsid w:val="00A26505"/>
    <w:rsid w:val="00A3426C"/>
    <w:rsid w:val="00A3448A"/>
    <w:rsid w:val="00A40377"/>
    <w:rsid w:val="00A41896"/>
    <w:rsid w:val="00A4431A"/>
    <w:rsid w:val="00A56927"/>
    <w:rsid w:val="00A60B89"/>
    <w:rsid w:val="00A738BD"/>
    <w:rsid w:val="00A81057"/>
    <w:rsid w:val="00A95AE8"/>
    <w:rsid w:val="00AA4F3D"/>
    <w:rsid w:val="00AA699D"/>
    <w:rsid w:val="00AD2D6F"/>
    <w:rsid w:val="00AD4814"/>
    <w:rsid w:val="00AE15A0"/>
    <w:rsid w:val="00AE2479"/>
    <w:rsid w:val="00AE43BD"/>
    <w:rsid w:val="00AE506D"/>
    <w:rsid w:val="00AF1C04"/>
    <w:rsid w:val="00B07BB1"/>
    <w:rsid w:val="00B17A4A"/>
    <w:rsid w:val="00B24865"/>
    <w:rsid w:val="00B43119"/>
    <w:rsid w:val="00B81291"/>
    <w:rsid w:val="00B82676"/>
    <w:rsid w:val="00B82A6C"/>
    <w:rsid w:val="00B92F2E"/>
    <w:rsid w:val="00BA08FB"/>
    <w:rsid w:val="00BA2EC6"/>
    <w:rsid w:val="00BA3069"/>
    <w:rsid w:val="00BA536A"/>
    <w:rsid w:val="00BC0F7E"/>
    <w:rsid w:val="00BC394D"/>
    <w:rsid w:val="00BD2CEB"/>
    <w:rsid w:val="00BD5E92"/>
    <w:rsid w:val="00BE3FBB"/>
    <w:rsid w:val="00BF1D96"/>
    <w:rsid w:val="00BF4DF5"/>
    <w:rsid w:val="00BF5704"/>
    <w:rsid w:val="00BF79C9"/>
    <w:rsid w:val="00C21462"/>
    <w:rsid w:val="00C22C10"/>
    <w:rsid w:val="00C24928"/>
    <w:rsid w:val="00C27E77"/>
    <w:rsid w:val="00C35A54"/>
    <w:rsid w:val="00C45E1A"/>
    <w:rsid w:val="00C713F4"/>
    <w:rsid w:val="00C73806"/>
    <w:rsid w:val="00C83F50"/>
    <w:rsid w:val="00C850BB"/>
    <w:rsid w:val="00C94054"/>
    <w:rsid w:val="00C94630"/>
    <w:rsid w:val="00C979A2"/>
    <w:rsid w:val="00CA498C"/>
    <w:rsid w:val="00CA75A7"/>
    <w:rsid w:val="00CB3349"/>
    <w:rsid w:val="00CC0CB2"/>
    <w:rsid w:val="00CC43CF"/>
    <w:rsid w:val="00CE3931"/>
    <w:rsid w:val="00CF67F8"/>
    <w:rsid w:val="00D02AA6"/>
    <w:rsid w:val="00D03B3C"/>
    <w:rsid w:val="00D178F1"/>
    <w:rsid w:val="00D253AA"/>
    <w:rsid w:val="00D263DF"/>
    <w:rsid w:val="00D50078"/>
    <w:rsid w:val="00D513C0"/>
    <w:rsid w:val="00D524DD"/>
    <w:rsid w:val="00D62AE2"/>
    <w:rsid w:val="00D64BE5"/>
    <w:rsid w:val="00D71846"/>
    <w:rsid w:val="00D80090"/>
    <w:rsid w:val="00D813C5"/>
    <w:rsid w:val="00D83CDC"/>
    <w:rsid w:val="00D84897"/>
    <w:rsid w:val="00D918D4"/>
    <w:rsid w:val="00D927E2"/>
    <w:rsid w:val="00DA3670"/>
    <w:rsid w:val="00DB0934"/>
    <w:rsid w:val="00DD3CD4"/>
    <w:rsid w:val="00DD53EE"/>
    <w:rsid w:val="00DF5E8D"/>
    <w:rsid w:val="00DF6EF7"/>
    <w:rsid w:val="00E100FE"/>
    <w:rsid w:val="00E20071"/>
    <w:rsid w:val="00E2578E"/>
    <w:rsid w:val="00E32AC3"/>
    <w:rsid w:val="00E3507C"/>
    <w:rsid w:val="00E46ED6"/>
    <w:rsid w:val="00E6210C"/>
    <w:rsid w:val="00E6274A"/>
    <w:rsid w:val="00E64233"/>
    <w:rsid w:val="00E70E6D"/>
    <w:rsid w:val="00E71119"/>
    <w:rsid w:val="00E730D6"/>
    <w:rsid w:val="00E75A8E"/>
    <w:rsid w:val="00EA3847"/>
    <w:rsid w:val="00EA59C9"/>
    <w:rsid w:val="00EB3DFF"/>
    <w:rsid w:val="00EC4D90"/>
    <w:rsid w:val="00ED2B6E"/>
    <w:rsid w:val="00EE2932"/>
    <w:rsid w:val="00EE2F01"/>
    <w:rsid w:val="00EE501C"/>
    <w:rsid w:val="00EF305E"/>
    <w:rsid w:val="00EF3191"/>
    <w:rsid w:val="00EF5C78"/>
    <w:rsid w:val="00F015CB"/>
    <w:rsid w:val="00F030EA"/>
    <w:rsid w:val="00F164BA"/>
    <w:rsid w:val="00F16ED8"/>
    <w:rsid w:val="00F179F9"/>
    <w:rsid w:val="00F2411B"/>
    <w:rsid w:val="00F2534B"/>
    <w:rsid w:val="00F26799"/>
    <w:rsid w:val="00F33851"/>
    <w:rsid w:val="00F37A95"/>
    <w:rsid w:val="00F519D3"/>
    <w:rsid w:val="00F577CD"/>
    <w:rsid w:val="00F61422"/>
    <w:rsid w:val="00F62245"/>
    <w:rsid w:val="00F75689"/>
    <w:rsid w:val="00F871B9"/>
    <w:rsid w:val="00F95863"/>
    <w:rsid w:val="00F9702E"/>
    <w:rsid w:val="00FA381B"/>
    <w:rsid w:val="00FA3FC0"/>
    <w:rsid w:val="00FC1034"/>
    <w:rsid w:val="00FC2670"/>
    <w:rsid w:val="00FD6DA8"/>
    <w:rsid w:val="00FE6B5B"/>
    <w:rsid w:val="00FF0E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6A74"/>
  <w15:docId w15:val="{B6DA3D31-D250-45EB-B959-BE5D298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02"/>
    <w:rPr>
      <w:sz w:val="24"/>
      <w:szCs w:val="24"/>
    </w:rPr>
  </w:style>
  <w:style w:type="paragraph" w:styleId="Heading1">
    <w:name w:val="heading 1"/>
    <w:basedOn w:val="Normal"/>
    <w:next w:val="Normal"/>
    <w:qFormat/>
    <w:rsid w:val="00EB560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5602"/>
    <w:rPr>
      <w:color w:val="0000FF"/>
      <w:u w:val="single"/>
    </w:rPr>
  </w:style>
  <w:style w:type="paragraph" w:styleId="NormalWeb">
    <w:name w:val="Normal (Web)"/>
    <w:basedOn w:val="Normal"/>
    <w:rsid w:val="00A35A60"/>
    <w:pPr>
      <w:spacing w:before="100" w:beforeAutospacing="1" w:after="100" w:afterAutospacing="1"/>
    </w:pPr>
  </w:style>
  <w:style w:type="character" w:styleId="Strong">
    <w:name w:val="Strong"/>
    <w:basedOn w:val="DefaultParagraphFont"/>
    <w:qFormat/>
    <w:rsid w:val="00A35A60"/>
    <w:rPr>
      <w:b/>
      <w:bCs/>
    </w:rPr>
  </w:style>
  <w:style w:type="paragraph" w:styleId="Header">
    <w:name w:val="header"/>
    <w:basedOn w:val="Normal"/>
    <w:link w:val="HeaderChar"/>
    <w:uiPriority w:val="99"/>
    <w:rsid w:val="0040555E"/>
    <w:pPr>
      <w:tabs>
        <w:tab w:val="center" w:pos="4320"/>
        <w:tab w:val="right" w:pos="8640"/>
      </w:tabs>
    </w:pPr>
  </w:style>
  <w:style w:type="character" w:customStyle="1" w:styleId="HeaderChar">
    <w:name w:val="Header Char"/>
    <w:basedOn w:val="DefaultParagraphFont"/>
    <w:link w:val="Header"/>
    <w:uiPriority w:val="99"/>
    <w:rsid w:val="0040555E"/>
    <w:rPr>
      <w:sz w:val="24"/>
      <w:szCs w:val="24"/>
    </w:rPr>
  </w:style>
  <w:style w:type="paragraph" w:styleId="Footer">
    <w:name w:val="footer"/>
    <w:basedOn w:val="Normal"/>
    <w:link w:val="FooterChar"/>
    <w:uiPriority w:val="99"/>
    <w:rsid w:val="0040555E"/>
    <w:pPr>
      <w:tabs>
        <w:tab w:val="center" w:pos="4320"/>
        <w:tab w:val="right" w:pos="8640"/>
      </w:tabs>
    </w:pPr>
  </w:style>
  <w:style w:type="character" w:customStyle="1" w:styleId="FooterChar">
    <w:name w:val="Footer Char"/>
    <w:basedOn w:val="DefaultParagraphFont"/>
    <w:link w:val="Footer"/>
    <w:uiPriority w:val="99"/>
    <w:rsid w:val="0040555E"/>
    <w:rPr>
      <w:sz w:val="24"/>
      <w:szCs w:val="24"/>
    </w:rPr>
  </w:style>
  <w:style w:type="paragraph" w:styleId="BalloonText">
    <w:name w:val="Balloon Text"/>
    <w:basedOn w:val="Normal"/>
    <w:link w:val="BalloonTextChar"/>
    <w:rsid w:val="00D71846"/>
    <w:rPr>
      <w:rFonts w:ascii="Tahoma" w:hAnsi="Tahoma" w:cs="Tahoma"/>
      <w:sz w:val="16"/>
      <w:szCs w:val="16"/>
    </w:rPr>
  </w:style>
  <w:style w:type="character" w:customStyle="1" w:styleId="BalloonTextChar">
    <w:name w:val="Balloon Text Char"/>
    <w:basedOn w:val="DefaultParagraphFont"/>
    <w:link w:val="BalloonText"/>
    <w:rsid w:val="00D71846"/>
    <w:rPr>
      <w:rFonts w:ascii="Tahoma" w:hAnsi="Tahoma" w:cs="Tahoma"/>
      <w:sz w:val="16"/>
      <w:szCs w:val="16"/>
    </w:rPr>
  </w:style>
  <w:style w:type="paragraph" w:styleId="ListParagraph">
    <w:name w:val="List Paragraph"/>
    <w:basedOn w:val="Normal"/>
    <w:uiPriority w:val="34"/>
    <w:qFormat/>
    <w:rsid w:val="009E36F7"/>
    <w:pPr>
      <w:ind w:left="720"/>
      <w:contextualSpacing/>
    </w:pPr>
  </w:style>
  <w:style w:type="character" w:styleId="UnresolvedMention">
    <w:name w:val="Unresolved Mention"/>
    <w:basedOn w:val="DefaultParagraphFont"/>
    <w:uiPriority w:val="99"/>
    <w:semiHidden/>
    <w:unhideWhenUsed/>
    <w:rsid w:val="00D64BE5"/>
    <w:rPr>
      <w:color w:val="605E5C"/>
      <w:shd w:val="clear" w:color="auto" w:fill="E1DFDD"/>
    </w:rPr>
  </w:style>
  <w:style w:type="character" w:styleId="FollowedHyperlink">
    <w:name w:val="FollowedHyperlink"/>
    <w:basedOn w:val="DefaultParagraphFont"/>
    <w:semiHidden/>
    <w:unhideWhenUsed/>
    <w:rsid w:val="00BD2CEB"/>
    <w:rPr>
      <w:color w:val="800080" w:themeColor="followedHyperlink"/>
      <w:u w:val="single"/>
    </w:rPr>
  </w:style>
  <w:style w:type="character" w:styleId="PlaceholderText">
    <w:name w:val="Placeholder Text"/>
    <w:basedOn w:val="DefaultParagraphFont"/>
    <w:uiPriority w:val="99"/>
    <w:semiHidden/>
    <w:rsid w:val="005905E2"/>
    <w:rPr>
      <w:color w:val="808080"/>
    </w:rPr>
  </w:style>
  <w:style w:type="table" w:styleId="TableGrid">
    <w:name w:val="Table Grid"/>
    <w:basedOn w:val="TableNormal"/>
    <w:rsid w:val="007E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75922">
      <w:bodyDiv w:val="1"/>
      <w:marLeft w:val="0"/>
      <w:marRight w:val="0"/>
      <w:marTop w:val="0"/>
      <w:marBottom w:val="0"/>
      <w:divBdr>
        <w:top w:val="none" w:sz="0" w:space="0" w:color="auto"/>
        <w:left w:val="none" w:sz="0" w:space="0" w:color="auto"/>
        <w:bottom w:val="none" w:sz="0" w:space="0" w:color="auto"/>
        <w:right w:val="none" w:sz="0" w:space="0" w:color="auto"/>
      </w:divBdr>
    </w:div>
    <w:div w:id="114434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gml.noaa.gov/grad/solcalc/" TargetMode="External"/><Relationship Id="rId3" Type="http://schemas.openxmlformats.org/officeDocument/2006/relationships/settings" Target="settings.xml"/><Relationship Id="rId21" Type="http://schemas.openxmlformats.org/officeDocument/2006/relationships/hyperlink" Target="https://www.washacadsci.org/Journal/Journalarticles/V.104.1a.pdf"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she-inc.org/wp-content/uploads/2018/05/TR-27a-Procedure-for-Determining-the-Directivity-of-a-Solar-Cooker.pdf"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www.asabe.org/media/200979/s58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hainessolarcooker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Solar%20cooker%20directivity%20work\Haines%202%20Oct%202024\Directivity%20Oct%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Haines 2 Directivity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Summary!$L$1</c:f>
              <c:strCache>
                <c:ptCount val="1"/>
                <c:pt idx="0">
                  <c:v>Blue_adj</c:v>
                </c:pt>
              </c:strCache>
            </c:strRef>
          </c:tx>
          <c:spPr>
            <a:ln w="19050" cap="rnd">
              <a:solidFill>
                <a:schemeClr val="accent1"/>
              </a:solidFill>
              <a:round/>
            </a:ln>
            <a:effectLst/>
          </c:spPr>
          <c:marker>
            <c:symbol val="none"/>
          </c:marker>
          <c:xVal>
            <c:numRef>
              <c:f>Summary!$K$2:$K$20</c:f>
              <c:numCache>
                <c:formatCode>General</c:formatCode>
                <c:ptCount val="19"/>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numCache>
            </c:numRef>
          </c:xVal>
          <c:yVal>
            <c:numRef>
              <c:f>Summary!$L$2:$L$20</c:f>
              <c:numCache>
                <c:formatCode>General</c:formatCode>
                <c:ptCount val="19"/>
                <c:pt idx="0">
                  <c:v>-0.39999999999999991</c:v>
                </c:pt>
                <c:pt idx="1">
                  <c:v>-0.44999999999999996</c:v>
                </c:pt>
                <c:pt idx="2">
                  <c:v>-0.10000000000000009</c:v>
                </c:pt>
                <c:pt idx="3">
                  <c:v>4.9999999999999822E-2</c:v>
                </c:pt>
                <c:pt idx="4">
                  <c:v>0.30000000000000027</c:v>
                </c:pt>
                <c:pt idx="5">
                  <c:v>0.75000000000000044</c:v>
                </c:pt>
                <c:pt idx="6">
                  <c:v>1.2999999999999998</c:v>
                </c:pt>
                <c:pt idx="7">
                  <c:v>2.1699999999999995</c:v>
                </c:pt>
                <c:pt idx="8">
                  <c:v>3.15</c:v>
                </c:pt>
                <c:pt idx="9">
                  <c:v>3.9499999999999997</c:v>
                </c:pt>
                <c:pt idx="10">
                  <c:v>4.75</c:v>
                </c:pt>
                <c:pt idx="11">
                  <c:v>5.48</c:v>
                </c:pt>
                <c:pt idx="12">
                  <c:v>5.7999999999999989</c:v>
                </c:pt>
                <c:pt idx="13">
                  <c:v>5.75</c:v>
                </c:pt>
                <c:pt idx="14">
                  <c:v>5.4</c:v>
                </c:pt>
                <c:pt idx="15">
                  <c:v>5.25</c:v>
                </c:pt>
                <c:pt idx="16">
                  <c:v>5</c:v>
                </c:pt>
                <c:pt idx="17">
                  <c:v>4.5999999999999996</c:v>
                </c:pt>
                <c:pt idx="18">
                  <c:v>3.9999999999999996</c:v>
                </c:pt>
              </c:numCache>
            </c:numRef>
          </c:yVal>
          <c:smooth val="1"/>
          <c:extLst>
            <c:ext xmlns:c16="http://schemas.microsoft.com/office/drawing/2014/chart" uri="{C3380CC4-5D6E-409C-BE32-E72D297353CC}">
              <c16:uniqueId val="{00000000-8D86-4EA9-AE74-D366A493352C}"/>
            </c:ext>
          </c:extLst>
        </c:ser>
        <c:ser>
          <c:idx val="1"/>
          <c:order val="1"/>
          <c:tx>
            <c:strRef>
              <c:f>Summary!$M$1</c:f>
              <c:strCache>
                <c:ptCount val="1"/>
                <c:pt idx="0">
                  <c:v>Red_adj</c:v>
                </c:pt>
              </c:strCache>
            </c:strRef>
          </c:tx>
          <c:spPr>
            <a:ln w="19050" cap="rnd">
              <a:solidFill>
                <a:schemeClr val="accent2"/>
              </a:solidFill>
              <a:round/>
            </a:ln>
            <a:effectLst/>
          </c:spPr>
          <c:marker>
            <c:symbol val="none"/>
          </c:marker>
          <c:xVal>
            <c:numRef>
              <c:f>Summary!$K$2:$K$20</c:f>
              <c:numCache>
                <c:formatCode>General</c:formatCode>
                <c:ptCount val="19"/>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numCache>
            </c:numRef>
          </c:xVal>
          <c:yVal>
            <c:numRef>
              <c:f>Summary!$M$2:$M$20</c:f>
              <c:numCache>
                <c:formatCode>General</c:formatCode>
                <c:ptCount val="19"/>
                <c:pt idx="0">
                  <c:v>-1.7</c:v>
                </c:pt>
                <c:pt idx="1">
                  <c:v>-1.65</c:v>
                </c:pt>
                <c:pt idx="2">
                  <c:v>-1.5</c:v>
                </c:pt>
                <c:pt idx="3">
                  <c:v>-1.35</c:v>
                </c:pt>
                <c:pt idx="4">
                  <c:v>-1.0999999999999999</c:v>
                </c:pt>
                <c:pt idx="5">
                  <c:v>-0.95</c:v>
                </c:pt>
                <c:pt idx="6">
                  <c:v>-0.39999999999999991</c:v>
                </c:pt>
                <c:pt idx="7">
                  <c:v>2.0000000000000018E-2</c:v>
                </c:pt>
                <c:pt idx="8">
                  <c:v>0.64999999999999991</c:v>
                </c:pt>
                <c:pt idx="9">
                  <c:v>1.0499999999999998</c:v>
                </c:pt>
                <c:pt idx="10">
                  <c:v>1.65</c:v>
                </c:pt>
                <c:pt idx="11">
                  <c:v>2.48</c:v>
                </c:pt>
                <c:pt idx="12">
                  <c:v>2.9999999999999996</c:v>
                </c:pt>
                <c:pt idx="13">
                  <c:v>3.7499999999999996</c:v>
                </c:pt>
                <c:pt idx="14">
                  <c:v>4.3000000000000007</c:v>
                </c:pt>
                <c:pt idx="15">
                  <c:v>5.0500000000000007</c:v>
                </c:pt>
                <c:pt idx="16">
                  <c:v>5.4</c:v>
                </c:pt>
                <c:pt idx="17">
                  <c:v>5.6999999999999993</c:v>
                </c:pt>
                <c:pt idx="18">
                  <c:v>5.6</c:v>
                </c:pt>
              </c:numCache>
            </c:numRef>
          </c:yVal>
          <c:smooth val="1"/>
          <c:extLst>
            <c:ext xmlns:c16="http://schemas.microsoft.com/office/drawing/2014/chart" uri="{C3380CC4-5D6E-409C-BE32-E72D297353CC}">
              <c16:uniqueId val="{00000001-8D86-4EA9-AE74-D366A493352C}"/>
            </c:ext>
          </c:extLst>
        </c:ser>
        <c:ser>
          <c:idx val="2"/>
          <c:order val="2"/>
          <c:tx>
            <c:strRef>
              <c:f>Summary!$N$1</c:f>
              <c:strCache>
                <c:ptCount val="1"/>
                <c:pt idx="0">
                  <c:v>Globe_adj</c:v>
                </c:pt>
              </c:strCache>
            </c:strRef>
          </c:tx>
          <c:spPr>
            <a:ln w="19050" cap="rnd">
              <a:solidFill>
                <a:schemeClr val="accent3"/>
              </a:solidFill>
              <a:round/>
            </a:ln>
            <a:effectLst/>
          </c:spPr>
          <c:marker>
            <c:symbol val="none"/>
          </c:marker>
          <c:xVal>
            <c:numRef>
              <c:f>Summary!$K$2:$K$20</c:f>
              <c:numCache>
                <c:formatCode>General</c:formatCode>
                <c:ptCount val="19"/>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numCache>
            </c:numRef>
          </c:xVal>
          <c:yVal>
            <c:numRef>
              <c:f>Summary!$N$2:$N$20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yVal>
          <c:smooth val="1"/>
          <c:extLst>
            <c:ext xmlns:c16="http://schemas.microsoft.com/office/drawing/2014/chart" uri="{C3380CC4-5D6E-409C-BE32-E72D297353CC}">
              <c16:uniqueId val="{00000002-8D86-4EA9-AE74-D366A493352C}"/>
            </c:ext>
          </c:extLst>
        </c:ser>
        <c:dLbls>
          <c:showLegendKey val="0"/>
          <c:showVal val="0"/>
          <c:showCatName val="0"/>
          <c:showSerName val="0"/>
          <c:showPercent val="0"/>
          <c:showBubbleSize val="0"/>
        </c:dLbls>
        <c:axId val="1597797487"/>
        <c:axId val="1597800847"/>
      </c:scatterChart>
      <c:valAx>
        <c:axId val="1597797487"/>
        <c:scaling>
          <c:orientation val="minMax"/>
          <c:max val="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Vertical Angle, deg.</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7800847"/>
        <c:crosses val="autoZero"/>
        <c:crossBetween val="midCat"/>
        <c:majorUnit val="10"/>
      </c:valAx>
      <c:valAx>
        <c:axId val="1597800847"/>
        <c:scaling>
          <c:orientation val="minMax"/>
          <c:max val="6"/>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Optical Concentration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779748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16F8E5-07EC-4273-B5A3-2144F1000632}">
  <we:reference id="wa104381909" version="3.14.4.0" store="en-US" storeType="OMEX"/>
  <we:alternateReferences>
    <we:reference id="WA104381909" version="3.14.4.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9</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Stolz Associates</Company>
  <LinksUpToDate>false</LinksUpToDate>
  <CharactersWithSpaces>11685</CharactersWithSpaces>
  <SharedDoc>false</SharedDoc>
  <HLinks>
    <vt:vector size="6" baseType="variant">
      <vt:variant>
        <vt:i4>4128807</vt:i4>
      </vt:variant>
      <vt:variant>
        <vt:i4>0</vt:i4>
      </vt:variant>
      <vt:variant>
        <vt:i4>0</vt:i4>
      </vt:variant>
      <vt:variant>
        <vt:i4>5</vt:i4>
      </vt:variant>
      <vt:variant>
        <vt:lpwstr>http://www.she-inc.org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Stolz</dc:creator>
  <cp:lastModifiedBy>Paul Arveson</cp:lastModifiedBy>
  <cp:revision>2</cp:revision>
  <cp:lastPrinted>2024-12-31T20:59:00Z</cp:lastPrinted>
  <dcterms:created xsi:type="dcterms:W3CDTF">2024-12-31T21:00:00Z</dcterms:created>
  <dcterms:modified xsi:type="dcterms:W3CDTF">2024-12-31T21:00:00Z</dcterms:modified>
</cp:coreProperties>
</file>